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56"/>
          <w:szCs w:val="56"/>
        </w:rPr>
        <w:id w:val="12134752"/>
        <w:placeholder>
          <w:docPart w:val="20C71D6A04494ABA86BECBEA3B45E2C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6D2B6B" w:rsidRPr="009A4D9E" w:rsidRDefault="00BE325B" w:rsidP="000B3CBF">
          <w:pPr>
            <w:pStyle w:val="Title"/>
            <w:jc w:val="center"/>
            <w:rPr>
              <w:color w:val="auto"/>
              <w:sz w:val="56"/>
              <w:szCs w:val="56"/>
            </w:rPr>
          </w:pPr>
          <w:r w:rsidRPr="009A4D9E">
            <w:rPr>
              <w:color w:val="auto"/>
              <w:sz w:val="56"/>
              <w:szCs w:val="56"/>
            </w:rPr>
            <w:t>Treasurer Report</w:t>
          </w:r>
        </w:p>
      </w:sdtContent>
    </w:sdt>
    <w:p w:rsidR="00564178" w:rsidRDefault="00564178" w:rsidP="00EB729E">
      <w:pPr>
        <w:jc w:val="both"/>
        <w:rPr>
          <w:sz w:val="24"/>
          <w:szCs w:val="24"/>
        </w:rPr>
      </w:pPr>
    </w:p>
    <w:p w:rsidR="00D3479C" w:rsidRPr="00445F00" w:rsidRDefault="009E447D" w:rsidP="00EB729E">
      <w:pPr>
        <w:jc w:val="both"/>
        <w:rPr>
          <w:sz w:val="24"/>
          <w:szCs w:val="24"/>
        </w:rPr>
      </w:pPr>
      <w:r w:rsidRPr="00445F00">
        <w:rPr>
          <w:sz w:val="24"/>
          <w:szCs w:val="24"/>
        </w:rPr>
        <w:t xml:space="preserve">The unrestricted cash </w:t>
      </w:r>
      <w:r w:rsidR="00564178">
        <w:rPr>
          <w:sz w:val="24"/>
          <w:szCs w:val="24"/>
        </w:rPr>
        <w:t>remains</w:t>
      </w:r>
      <w:r w:rsidR="0041695D">
        <w:rPr>
          <w:sz w:val="24"/>
          <w:szCs w:val="24"/>
        </w:rPr>
        <w:t xml:space="preserve"> above</w:t>
      </w:r>
      <w:r w:rsidRPr="00445F00">
        <w:rPr>
          <w:sz w:val="24"/>
          <w:szCs w:val="24"/>
        </w:rPr>
        <w:t xml:space="preserve"> the </w:t>
      </w:r>
      <w:r w:rsidR="00564178" w:rsidRPr="00445F00">
        <w:rPr>
          <w:sz w:val="24"/>
          <w:szCs w:val="24"/>
        </w:rPr>
        <w:t xml:space="preserve">reserve </w:t>
      </w:r>
      <w:r w:rsidRPr="00445F00">
        <w:rPr>
          <w:sz w:val="24"/>
          <w:szCs w:val="24"/>
        </w:rPr>
        <w:t>requirement.</w:t>
      </w:r>
      <w:r w:rsidR="001E6CE5">
        <w:rPr>
          <w:sz w:val="24"/>
          <w:szCs w:val="24"/>
        </w:rPr>
        <w:t xml:space="preserve"> At the end of October, we had $234,712 cash on hand. Of this amount, $</w:t>
      </w:r>
      <w:r w:rsidR="001A43E5">
        <w:rPr>
          <w:sz w:val="24"/>
          <w:szCs w:val="24"/>
        </w:rPr>
        <w:t>116,717 is in the Building Fund, and $9,287 is in the Campus Fund.</w:t>
      </w:r>
      <w:r w:rsidR="00C27DCF">
        <w:rPr>
          <w:sz w:val="24"/>
          <w:szCs w:val="24"/>
        </w:rPr>
        <w:t xml:space="preserve"> Expenses are below budget.</w:t>
      </w:r>
      <w:r w:rsidRPr="00445F00">
        <w:rPr>
          <w:sz w:val="24"/>
          <w:szCs w:val="24"/>
        </w:rPr>
        <w:t xml:space="preserve"> </w:t>
      </w:r>
      <w:r w:rsidR="00564178">
        <w:rPr>
          <w:sz w:val="24"/>
          <w:szCs w:val="24"/>
        </w:rPr>
        <w:t xml:space="preserve">We are budgeted to end </w:t>
      </w:r>
      <w:r w:rsidR="001A43E5">
        <w:rPr>
          <w:sz w:val="24"/>
          <w:szCs w:val="24"/>
        </w:rPr>
        <w:t>2012</w:t>
      </w:r>
      <w:r w:rsidR="00564178">
        <w:rPr>
          <w:sz w:val="24"/>
          <w:szCs w:val="24"/>
        </w:rPr>
        <w:t xml:space="preserve"> with 15,000 members and we are currently at 15,283. </w:t>
      </w:r>
    </w:p>
    <w:p w:rsidR="00BE01CC" w:rsidRPr="009A4D9E" w:rsidRDefault="00BE01CC" w:rsidP="00BE01CC">
      <w:pPr>
        <w:pStyle w:val="Heading1"/>
        <w:rPr>
          <w:color w:val="auto"/>
        </w:rPr>
      </w:pPr>
      <w:r w:rsidRPr="009A4D9E">
        <w:rPr>
          <w:color w:val="auto"/>
        </w:rPr>
        <w:t>Double the LP</w:t>
      </w:r>
    </w:p>
    <w:p w:rsidR="00BE01CC" w:rsidRDefault="00BE01CC" w:rsidP="00BE01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attended the Double the LP event at The Palazzo in Las Vegas. The event was well received, and had a presentation with Gov. Gary Johnson, comedian Doug Stanhope, and boxer Ron Johnson. Estimate at least eighty people attended. </w:t>
      </w:r>
      <w:proofErr w:type="gramStart"/>
      <w:r>
        <w:rPr>
          <w:sz w:val="24"/>
          <w:szCs w:val="24"/>
        </w:rPr>
        <w:t xml:space="preserve">Kudos to Brett </w:t>
      </w:r>
      <w:proofErr w:type="spellStart"/>
      <w:r>
        <w:rPr>
          <w:sz w:val="24"/>
          <w:szCs w:val="24"/>
        </w:rPr>
        <w:t>Pojunis</w:t>
      </w:r>
      <w:proofErr w:type="spellEnd"/>
      <w:r>
        <w:rPr>
          <w:sz w:val="24"/>
          <w:szCs w:val="24"/>
        </w:rPr>
        <w:t>, Jillian Mack, and Michael Pickens for putting on a good event.</w:t>
      </w:r>
      <w:proofErr w:type="gramEnd"/>
    </w:p>
    <w:p w:rsidR="00BE01CC" w:rsidRPr="009A4D9E" w:rsidRDefault="00BE01CC" w:rsidP="00BE01CC">
      <w:pPr>
        <w:pStyle w:val="Heading1"/>
        <w:rPr>
          <w:caps w:val="0"/>
          <w:smallCaps/>
          <w:color w:val="auto"/>
        </w:rPr>
      </w:pPr>
      <w:proofErr w:type="spellStart"/>
      <w:r w:rsidRPr="009A4D9E">
        <w:rPr>
          <w:caps w:val="0"/>
          <w:smallCaps/>
          <w:color w:val="auto"/>
        </w:rPr>
        <w:t>Quickbook</w:t>
      </w:r>
      <w:proofErr w:type="spellEnd"/>
      <w:r w:rsidRPr="009A4D9E">
        <w:rPr>
          <w:caps w:val="0"/>
          <w:smallCaps/>
          <w:color w:val="auto"/>
        </w:rPr>
        <w:t xml:space="preserve"> Files Access</w:t>
      </w:r>
    </w:p>
    <w:p w:rsidR="00BE01CC" w:rsidRDefault="00BE01CC" w:rsidP="00BE01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LNC’s financial data are in </w:t>
      </w:r>
      <w:proofErr w:type="spellStart"/>
      <w:r>
        <w:rPr>
          <w:sz w:val="24"/>
          <w:szCs w:val="24"/>
        </w:rPr>
        <w:t>Quickbook</w:t>
      </w:r>
      <w:proofErr w:type="spellEnd"/>
      <w:r>
        <w:rPr>
          <w:sz w:val="24"/>
          <w:szCs w:val="24"/>
        </w:rPr>
        <w:t xml:space="preserve"> files. These files contain confidential information. The files contain private information on staff (names, addresses, Social Security Numbers, and salary). I would like for the LNC to give guidance to staff as to who should have access to these files. </w:t>
      </w:r>
      <w:proofErr w:type="gramStart"/>
      <w:r>
        <w:rPr>
          <w:sz w:val="24"/>
          <w:szCs w:val="24"/>
        </w:rPr>
        <w:t>In particular, whether the Audit Committee or the committee formed at the last meeting to review financial report format need to receive the files.</w:t>
      </w:r>
      <w:proofErr w:type="gramEnd"/>
    </w:p>
    <w:p w:rsidR="006D2B6B" w:rsidRPr="009A4D9E" w:rsidRDefault="00841B8F" w:rsidP="00BE325B">
      <w:pPr>
        <w:pStyle w:val="Heading1"/>
        <w:rPr>
          <w:caps w:val="0"/>
          <w:smallCaps/>
          <w:color w:val="auto"/>
        </w:rPr>
      </w:pPr>
      <w:r w:rsidRPr="009A4D9E">
        <w:rPr>
          <w:caps w:val="0"/>
          <w:smallCaps/>
          <w:color w:val="auto"/>
        </w:rPr>
        <w:t>Budget</w:t>
      </w:r>
    </w:p>
    <w:p w:rsidR="00BE325B" w:rsidRPr="00445F00" w:rsidRDefault="00390F26" w:rsidP="00EB729E">
      <w:pPr>
        <w:jc w:val="both"/>
        <w:rPr>
          <w:sz w:val="24"/>
          <w:szCs w:val="24"/>
        </w:rPr>
      </w:pPr>
      <w:r>
        <w:rPr>
          <w:sz w:val="24"/>
          <w:szCs w:val="24"/>
        </w:rPr>
        <w:t>I w</w:t>
      </w:r>
      <w:r w:rsidR="00841B8F">
        <w:rPr>
          <w:sz w:val="24"/>
          <w:szCs w:val="24"/>
        </w:rPr>
        <w:t xml:space="preserve">orked with Robert Klaus and Carla Howell on a draft budget, which was sent to the Executive Committee. </w:t>
      </w:r>
      <w:r w:rsidR="0094320C">
        <w:rPr>
          <w:sz w:val="24"/>
          <w:szCs w:val="24"/>
        </w:rPr>
        <w:t>Budgets were developed for three scenarios: staying at the Watergate office, buying a building, and rent another office. The revenues and expenses in 2009 and 2011 were used as a basis for the budget, and then line items were adjusted.</w:t>
      </w:r>
      <w:r w:rsidR="00BE01CC">
        <w:rPr>
          <w:sz w:val="24"/>
          <w:szCs w:val="24"/>
        </w:rPr>
        <w:t xml:space="preserve"> Some of the adjustments are:</w:t>
      </w:r>
    </w:p>
    <w:p w:rsidR="00BE01CC" w:rsidRDefault="00BE01CC" w:rsidP="00EB729E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Reduced Software/IT by $12,000 to reflect savings for switching from </w:t>
      </w:r>
      <w:proofErr w:type="spellStart"/>
      <w:r>
        <w:rPr>
          <w:sz w:val="24"/>
          <w:szCs w:val="24"/>
        </w:rPr>
        <w:t>Lyris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IContact</w:t>
      </w:r>
      <w:proofErr w:type="spellEnd"/>
      <w:r>
        <w:rPr>
          <w:sz w:val="24"/>
          <w:szCs w:val="24"/>
        </w:rPr>
        <w:t xml:space="preserve"> for e-mail blasts.</w:t>
      </w:r>
    </w:p>
    <w:p w:rsidR="007F74AC" w:rsidRDefault="007744FC" w:rsidP="00EB729E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Saved $2400 from s</w:t>
      </w:r>
      <w:r w:rsidR="00BE01CC">
        <w:rPr>
          <w:sz w:val="24"/>
          <w:szCs w:val="24"/>
        </w:rPr>
        <w:t xml:space="preserve">witching to </w:t>
      </w:r>
      <w:r>
        <w:rPr>
          <w:sz w:val="24"/>
          <w:szCs w:val="24"/>
        </w:rPr>
        <w:t>a new phone system</w:t>
      </w:r>
      <w:r w:rsidR="00BE01CC">
        <w:rPr>
          <w:sz w:val="24"/>
          <w:szCs w:val="24"/>
        </w:rPr>
        <w:t>.</w:t>
      </w:r>
    </w:p>
    <w:p w:rsidR="00BE01CC" w:rsidRDefault="00BE01CC" w:rsidP="00EB729E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Increased web income and web expense categories anticipating increased revenue generated from a new website and Double the LP plus their related expenses.</w:t>
      </w:r>
    </w:p>
    <w:p w:rsidR="00BE01CC" w:rsidRDefault="00BE01CC" w:rsidP="00EB729E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Added $10,000 each for Chair and Board fundraising.</w:t>
      </w:r>
    </w:p>
    <w:p w:rsidR="00BE01CC" w:rsidRDefault="00BE01CC" w:rsidP="00EB729E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Added $5,000 to Affiliate Support.</w:t>
      </w:r>
    </w:p>
    <w:p w:rsidR="00390F26" w:rsidRPr="00390F26" w:rsidRDefault="00390F26" w:rsidP="00390F26">
      <w:pPr>
        <w:jc w:val="both"/>
        <w:rPr>
          <w:sz w:val="24"/>
          <w:szCs w:val="24"/>
        </w:rPr>
      </w:pPr>
      <w:r>
        <w:rPr>
          <w:sz w:val="24"/>
          <w:szCs w:val="24"/>
        </w:rPr>
        <w:t>A summary table of the budget with a comparison to the 2009 numbers follows, along with graphs of the revenues and expenses of the budget for staying at the Watergate office. Details will be provided during the meeting.</w:t>
      </w:r>
    </w:p>
    <w:p w:rsidR="001F0FDC" w:rsidRDefault="001F0FD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988" w:type="dxa"/>
        <w:tblInd w:w="93" w:type="dxa"/>
        <w:tblLook w:val="04A0"/>
      </w:tblPr>
      <w:tblGrid>
        <w:gridCol w:w="222"/>
        <w:gridCol w:w="3738"/>
        <w:gridCol w:w="1220"/>
        <w:gridCol w:w="1220"/>
        <w:gridCol w:w="1220"/>
        <w:gridCol w:w="1217"/>
        <w:gridCol w:w="1151"/>
      </w:tblGrid>
      <w:tr w:rsidR="00390F26" w:rsidRPr="00390F26" w:rsidTr="009A4D9E">
        <w:trPr>
          <w:trHeight w:val="315"/>
        </w:trPr>
        <w:tc>
          <w:tcPr>
            <w:tcW w:w="9988" w:type="dxa"/>
            <w:gridSpan w:val="7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US"/>
              </w:rPr>
              <w:lastRenderedPageBreak/>
              <w:t>Libertarian National Committee, Inc.</w:t>
            </w:r>
          </w:p>
        </w:tc>
      </w:tr>
      <w:tr w:rsidR="00390F26" w:rsidRPr="00390F26" w:rsidTr="009A4D9E">
        <w:trPr>
          <w:trHeight w:val="360"/>
        </w:trPr>
        <w:tc>
          <w:tcPr>
            <w:tcW w:w="9988" w:type="dxa"/>
            <w:gridSpan w:val="7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en-US"/>
              </w:rPr>
              <w:t>Statement of Operations - 2013 Budget</w:t>
            </w:r>
          </w:p>
        </w:tc>
      </w:tr>
      <w:tr w:rsidR="00390F26" w:rsidRPr="00390F26" w:rsidTr="009A4D9E">
        <w:trPr>
          <w:trHeight w:val="255"/>
        </w:trPr>
        <w:tc>
          <w:tcPr>
            <w:tcW w:w="9988" w:type="dxa"/>
            <w:gridSpan w:val="7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n-US"/>
              </w:rPr>
              <w:t>Year Ending 2009 and 2013 Budget</w:t>
            </w:r>
          </w:p>
        </w:tc>
      </w:tr>
      <w:tr w:rsidR="00390F26" w:rsidRPr="00390F26" w:rsidTr="009A4D9E">
        <w:trPr>
          <w:trHeight w:val="91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Jan - Dec 09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2013 BUDGET (w-Ext at Watergate)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$ Difference </w:t>
            </w:r>
            <w:r w:rsidR="000B3C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13 v </w:t>
            </w:r>
            <w:r w:rsidR="000B3C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17" w:type="dxa"/>
            <w:shd w:val="clear" w:color="auto" w:fill="auto"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2013 BUDGET (w-</w:t>
            </w:r>
            <w:proofErr w:type="spellStart"/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Purch</w:t>
            </w:r>
            <w:proofErr w:type="spellEnd"/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$1M Office)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2013 BUDGET (w-Lease </w:t>
            </w:r>
            <w:proofErr w:type="spellStart"/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Arlg</w:t>
            </w:r>
            <w:proofErr w:type="spellEnd"/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or Alex)</w:t>
            </w:r>
          </w:p>
        </w:tc>
      </w:tr>
      <w:tr w:rsidR="00390F26" w:rsidRPr="00390F26" w:rsidTr="009A4D9E">
        <w:trPr>
          <w:trHeight w:val="270"/>
        </w:trPr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Support and Revenue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20-Membership Dues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480,132.32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465,000.00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US"/>
              </w:rPr>
              <w:t>(15,132.32)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465,000.00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465,000.00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21-Donations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307,564.34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339,200.00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31,635.66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339,200.00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339,200.00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22-Recurring Gifts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268,088.64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330,600.00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62,511.36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330,600.00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330,600.00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23-Board Solicitation Major Gifts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19,763.40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20,000.00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236.60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20,000.00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20,000.00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24-Convention Revenue *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25-Project Program Revenue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283,533.00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26-Brand Development Rev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27-BallotAccess Donations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28-Publications Materials Other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500.00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4,200.00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3,700.00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4,200.00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4,200.00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29-Other Revenue &amp; Offsets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3,652.31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US"/>
              </w:rPr>
              <w:t>(3,652.31)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7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Support and Revenue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1,079,701.01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1,159,000.00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79,298.99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1,442,533.00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1,159,000.00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Cost of Support and Revenue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32-Fundraising Costs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145,587.87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181,200.00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35,612.13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188,400.00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181,200.00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33-Membership Fundraising Costs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73,486.36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124,650.00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51,163.64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124,650.00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124,650.00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34-Direct Costs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35-Convention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36-BallotAccess Fundraising Exp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7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Cost of Support and Revenue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219,074.23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305,850.00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86,775.77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313,050.00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305,850.00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390F26" w:rsidRPr="00390F26" w:rsidTr="009A4D9E">
        <w:trPr>
          <w:trHeight w:val="255"/>
        </w:trPr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Net Support Available for Programs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860,626.78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853,150.00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US"/>
              </w:rPr>
              <w:t>(7,476.78)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1,129,483.00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853,150.00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390F26" w:rsidRPr="00390F26" w:rsidTr="009A4D9E">
        <w:trPr>
          <w:trHeight w:val="255"/>
        </w:trPr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Program Expense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40-Adminstrative Costs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379,255.33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346,100.00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US"/>
              </w:rPr>
              <w:t>(33,155.33)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316,100.00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343,000.00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45-Compensation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342,028.35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424,000.00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81,971.65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424,000.00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424,000.00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50-Affiliate Support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7,100.00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6,800.00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7,100.00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7,100.00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55-Brand Development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34.87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2,700.00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2,665.13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2,700.00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2,700.00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58-Campus Outreach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60-Candidate, Campaign &amp; Initiatives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70-Ballot Access Petitioning Related Exp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5,500.00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US"/>
              </w:rPr>
              <w:t>(5,500.00)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75-Litigation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5,366.69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4,800.00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US"/>
              </w:rPr>
              <w:t>(566.69)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4,800.00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4,800.00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80-Media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5,745.00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1,000.00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US"/>
              </w:rPr>
              <w:t>(4,745.00)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1,000.00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1,000.00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85-Member Communication and Materials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33,091.58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35,000.00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1,908.42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35,000.00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35,000.00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88-Outreach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3,016.45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12,200.00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9,183.55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12,200.00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12,200.00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90-Project Program Other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28,353.00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0.00 </w:t>
            </w:r>
          </w:p>
        </w:tc>
      </w:tr>
      <w:tr w:rsidR="00390F26" w:rsidRPr="00390F26" w:rsidTr="009A4D9E">
        <w:trPr>
          <w:trHeight w:val="27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Program Expense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774,338.27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832,900.00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58,561.73 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831,253.00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829,800.00 </w:t>
            </w:r>
          </w:p>
        </w:tc>
      </w:tr>
      <w:tr w:rsidR="00390F26" w:rsidRPr="00390F26" w:rsidTr="009A4D9E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390F26">
              <w:rPr>
                <w:rFonts w:ascii="Arial" w:eastAsia="Times New Roman" w:hAnsi="Arial" w:cs="Arial"/>
                <w:sz w:val="20"/>
                <w:lang w:eastAsia="en-US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390F26">
              <w:rPr>
                <w:rFonts w:ascii="Arial" w:eastAsia="Times New Roman" w:hAnsi="Arial" w:cs="Arial"/>
                <w:sz w:val="20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390F26">
              <w:rPr>
                <w:rFonts w:ascii="Arial" w:eastAsia="Times New Roman" w:hAnsi="Arial" w:cs="Arial"/>
                <w:sz w:val="20"/>
                <w:lang w:eastAsia="en-US"/>
              </w:rPr>
              <w:t> </w:t>
            </w:r>
          </w:p>
        </w:tc>
      </w:tr>
      <w:tr w:rsidR="00390F26" w:rsidRPr="00390F26" w:rsidTr="009A4D9E">
        <w:trPr>
          <w:trHeight w:val="270"/>
        </w:trPr>
        <w:tc>
          <w:tcPr>
            <w:tcW w:w="3960" w:type="dxa"/>
            <w:gridSpan w:val="2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Net Operating Surplus (or Deficit)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86,288.51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20,250.00 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US"/>
              </w:rPr>
              <w:t>(66,038.51)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298,230.00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390F26" w:rsidRPr="00390F26" w:rsidRDefault="00390F26" w:rsidP="00390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390F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23,350.00 </w:t>
            </w:r>
          </w:p>
        </w:tc>
      </w:tr>
    </w:tbl>
    <w:p w:rsidR="00BE01CC" w:rsidRDefault="00BE01CC" w:rsidP="00C16F90">
      <w:pPr>
        <w:jc w:val="center"/>
        <w:rPr>
          <w:sz w:val="24"/>
          <w:szCs w:val="24"/>
        </w:rPr>
      </w:pPr>
    </w:p>
    <w:p w:rsidR="001F0FDC" w:rsidRDefault="001F0FDC" w:rsidP="00C16F90">
      <w:pPr>
        <w:jc w:val="center"/>
        <w:rPr>
          <w:sz w:val="24"/>
          <w:szCs w:val="24"/>
        </w:rPr>
      </w:pPr>
      <w:r w:rsidRPr="001F0FDC">
        <w:rPr>
          <w:sz w:val="24"/>
          <w:szCs w:val="24"/>
        </w:rPr>
        <w:lastRenderedPageBreak/>
        <w:drawing>
          <wp:inline distT="0" distB="0" distL="0" distR="0">
            <wp:extent cx="5943600" cy="36957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36C4" w:rsidRDefault="00C16F90" w:rsidP="000B3CBF">
      <w:pPr>
        <w:jc w:val="center"/>
        <w:rPr>
          <w:b/>
          <w:sz w:val="28"/>
          <w:szCs w:val="28"/>
        </w:rPr>
      </w:pPr>
      <w:r w:rsidRPr="00C16F90">
        <w:rPr>
          <w:b/>
          <w:sz w:val="28"/>
          <w:szCs w:val="28"/>
        </w:rPr>
        <w:t>Expenses</w:t>
      </w:r>
    </w:p>
    <w:p w:rsidR="005E2573" w:rsidRPr="00BE01CC" w:rsidRDefault="005E2573" w:rsidP="000B3CBF">
      <w:pPr>
        <w:jc w:val="center"/>
        <w:rPr>
          <w:b/>
          <w:sz w:val="28"/>
          <w:szCs w:val="28"/>
        </w:rPr>
      </w:pPr>
      <w:r w:rsidRPr="005E2573">
        <w:rPr>
          <w:b/>
          <w:sz w:val="28"/>
          <w:szCs w:val="28"/>
        </w:rPr>
        <w:drawing>
          <wp:inline distT="0" distB="0" distL="0" distR="0">
            <wp:extent cx="5943600" cy="38100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5E2573" w:rsidRPr="00BE01CC" w:rsidSect="006D2B6B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7E" w:rsidRDefault="004E387E">
      <w:pPr>
        <w:spacing w:after="0" w:line="240" w:lineRule="auto"/>
      </w:pPr>
      <w:r>
        <w:separator/>
      </w:r>
    </w:p>
  </w:endnote>
  <w:endnote w:type="continuationSeparator" w:id="0">
    <w:p w:rsidR="004E387E" w:rsidRDefault="004E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6B" w:rsidRDefault="006D2B6B">
    <w:pPr>
      <w:pStyle w:val="Footer"/>
    </w:pPr>
  </w:p>
  <w:p w:rsidR="006D2B6B" w:rsidRDefault="005704AE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6B" w:rsidRDefault="006D2B6B">
    <w:pPr>
      <w:pStyle w:val="Footer"/>
    </w:pPr>
  </w:p>
  <w:p w:rsidR="006D2B6B" w:rsidRDefault="005704AE">
    <w:pPr>
      <w:pStyle w:val="FooterOdd"/>
    </w:pPr>
    <w:r>
      <w:t xml:space="preserve">Page </w:t>
    </w:r>
    <w:fldSimple w:instr=" PAGE   \* MERGEFORMAT ">
      <w:r w:rsidR="00AB16CC" w:rsidRPr="00AB16CC">
        <w:rPr>
          <w:noProof/>
          <w:sz w:val="24"/>
          <w:szCs w:val="2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7E" w:rsidRDefault="004E387E">
      <w:pPr>
        <w:spacing w:after="0" w:line="240" w:lineRule="auto"/>
      </w:pPr>
      <w:r>
        <w:separator/>
      </w:r>
    </w:p>
  </w:footnote>
  <w:footnote w:type="continuationSeparator" w:id="0">
    <w:p w:rsidR="004E387E" w:rsidRDefault="004E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6B" w:rsidRDefault="002E5911">
    <w:pPr>
      <w:pStyle w:val="HeaderEven"/>
    </w:pPr>
    <w:sdt>
      <w:sdtPr>
        <w:alias w:val="Title"/>
        <w:id w:val="540890930"/>
        <w:placeholder>
          <w:docPart w:val="2F55DC3A1CFB4A4CB2B3852CF7296F0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E325B">
          <w:t>Treasurer Report</w:t>
        </w:r>
      </w:sdtContent>
    </w:sdt>
  </w:p>
  <w:p w:rsidR="006D2B6B" w:rsidRDefault="006D2B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6B" w:rsidRDefault="002E5911">
    <w:pPr>
      <w:pStyle w:val="HeaderOdd"/>
    </w:pPr>
    <w:sdt>
      <w:sdtPr>
        <w:alias w:val="Title"/>
        <w:id w:val="540932446"/>
        <w:placeholder>
          <w:docPart w:val="880032B476D14FC69F9924EB6949628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E325B">
          <w:t>Treasurer Report</w:t>
        </w:r>
      </w:sdtContent>
    </w:sdt>
  </w:p>
  <w:p w:rsidR="006D2B6B" w:rsidRDefault="006D2B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C07245"/>
    <w:multiLevelType w:val="hybridMultilevel"/>
    <w:tmpl w:val="2A2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60113E"/>
    <w:rsid w:val="000B3CBF"/>
    <w:rsid w:val="001A43E5"/>
    <w:rsid w:val="001E6CE5"/>
    <w:rsid w:val="001F0FDC"/>
    <w:rsid w:val="00261B91"/>
    <w:rsid w:val="002E5911"/>
    <w:rsid w:val="00300E12"/>
    <w:rsid w:val="0033195A"/>
    <w:rsid w:val="00390F26"/>
    <w:rsid w:val="00395EDD"/>
    <w:rsid w:val="00403DF2"/>
    <w:rsid w:val="0041695D"/>
    <w:rsid w:val="00445F00"/>
    <w:rsid w:val="004E387E"/>
    <w:rsid w:val="004F0EBB"/>
    <w:rsid w:val="00564178"/>
    <w:rsid w:val="005704AE"/>
    <w:rsid w:val="00591B45"/>
    <w:rsid w:val="005A6A31"/>
    <w:rsid w:val="005B655B"/>
    <w:rsid w:val="005E2573"/>
    <w:rsid w:val="005E36C4"/>
    <w:rsid w:val="0060113E"/>
    <w:rsid w:val="00686423"/>
    <w:rsid w:val="006A6F8F"/>
    <w:rsid w:val="006D2B6B"/>
    <w:rsid w:val="00710F65"/>
    <w:rsid w:val="00747FB8"/>
    <w:rsid w:val="0077173D"/>
    <w:rsid w:val="007744FC"/>
    <w:rsid w:val="00797017"/>
    <w:rsid w:val="007F74AC"/>
    <w:rsid w:val="00841B8F"/>
    <w:rsid w:val="0087274E"/>
    <w:rsid w:val="0094320C"/>
    <w:rsid w:val="00951C09"/>
    <w:rsid w:val="009A4D9E"/>
    <w:rsid w:val="009E447D"/>
    <w:rsid w:val="00A646B6"/>
    <w:rsid w:val="00AB16CC"/>
    <w:rsid w:val="00B216C9"/>
    <w:rsid w:val="00B65FBB"/>
    <w:rsid w:val="00BE01CC"/>
    <w:rsid w:val="00BE325B"/>
    <w:rsid w:val="00C16F90"/>
    <w:rsid w:val="00C20632"/>
    <w:rsid w:val="00C27DCF"/>
    <w:rsid w:val="00CF3518"/>
    <w:rsid w:val="00D3479C"/>
    <w:rsid w:val="00DD7BF1"/>
    <w:rsid w:val="00E56CEF"/>
    <w:rsid w:val="00EB729E"/>
    <w:rsid w:val="00EE1327"/>
    <w:rsid w:val="00F414AB"/>
    <w:rsid w:val="00F87CC6"/>
    <w:rsid w:val="00F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6B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D2B6B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B6B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B6B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B6B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B6B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B6B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B6B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B6B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B6B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B6B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D2B6B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D2B6B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6D2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B6B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6D2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B6B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6D2B6B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B6B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6D2B6B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2B6B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6D2B6B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D2B6B"/>
    <w:rPr>
      <w:rFonts w:cs="Times New Roman"/>
      <w:color w:val="775F55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6B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6D2B6B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6D2B6B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6D2B6B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B6B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B6B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B6B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B6B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B6B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B6B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6D2B6B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D2B6B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6D2B6B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6D2B6B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D2B6B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6D2B6B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6D2B6B"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6D2B6B"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6D2B6B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6D2B6B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6D2B6B"/>
    <w:pPr>
      <w:ind w:left="720"/>
      <w:contextualSpacing/>
    </w:pPr>
  </w:style>
  <w:style w:type="numbering" w:customStyle="1" w:styleId="MedianListStyle">
    <w:name w:val="Median List Style"/>
    <w:uiPriority w:val="99"/>
    <w:rsid w:val="006D2B6B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99"/>
    <w:qFormat/>
    <w:rsid w:val="006D2B6B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6D2B6B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6D2B6B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6D2B6B"/>
    <w:rPr>
      <w:rFonts w:asciiTheme="minorHAnsi" w:hAnsiTheme="minorHAnsi"/>
      <w:b/>
      <w:color w:val="DD8047" w:themeColor="accent2"/>
    </w:rPr>
  </w:style>
  <w:style w:type="character" w:styleId="SubtleEmphasis">
    <w:name w:val="Subtle Emphasis"/>
    <w:basedOn w:val="DefaultParagraphFont"/>
    <w:uiPriority w:val="19"/>
    <w:qFormat/>
    <w:rsid w:val="006D2B6B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6D2B6B"/>
    <w:rPr>
      <w:rFonts w:asciiTheme="minorHAnsi" w:hAnsiTheme="minorHAnsi"/>
      <w:b/>
      <w:i/>
      <w:color w:val="775F55" w:themeColor="text2"/>
      <w:sz w:val="23"/>
    </w:rPr>
  </w:style>
  <w:style w:type="table" w:styleId="TableGrid">
    <w:name w:val="Table Grid"/>
    <w:basedOn w:val="TableNormal"/>
    <w:uiPriority w:val="1"/>
    <w:rsid w:val="006D2B6B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D2B6B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6D2B6B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6D2B6B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6D2B6B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6D2B6B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6D2B6B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6D2B6B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6D2B6B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6D2B6B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6D2B6B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6D2B6B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6D2B6B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6D2B6B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6D2B6B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6D2B6B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dianRepo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m\Documents\Politics\LNC\LNC_Budget_2013_draft_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m\Documents\Politics\LNC\LNC_Budget_2013_draft_v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352941176470589"/>
          <c:y val="0.14355628058727596"/>
          <c:w val="0.52497225305216422"/>
          <c:h val="0.77161500815660733"/>
        </c:manualLayout>
      </c:layout>
      <c:pieChart>
        <c:varyColors val="1"/>
        <c:ser>
          <c:idx val="0"/>
          <c:order val="0"/>
          <c:tx>
            <c:strRef>
              <c:f>'Chart Data'!$A$1</c:f>
              <c:strCache>
                <c:ptCount val="1"/>
                <c:pt idx="0">
                  <c:v>Revenue</c:v>
                </c:pt>
              </c:strCache>
            </c:strRef>
          </c:tx>
          <c:dPt>
            <c:idx val="1"/>
            <c:spPr>
              <a:effectLst/>
            </c:spPr>
          </c:dPt>
          <c:dLbls>
            <c:dLbl>
              <c:idx val="3"/>
              <c:layout>
                <c:manualLayout>
                  <c:x val="-0.15219240214285101"/>
                  <c:y val="2.7947061266607582E-2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0.20679792939312122"/>
                  <c:y val="3.2823213574649061E-2"/>
                </c:manualLayout>
              </c:layout>
              <c:dLblPos val="bestFit"/>
              <c:showVal val="1"/>
              <c:showCatNam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aseline="0"/>
                </a:pPr>
                <a:endParaRPr lang="en-US"/>
              </a:p>
            </c:txPr>
            <c:showVal val="1"/>
            <c:showCatName val="1"/>
            <c:showLeaderLines val="1"/>
          </c:dLbls>
          <c:cat>
            <c:strRef>
              <c:f>'Chart Data'!$A$2:$A$6</c:f>
              <c:strCache>
                <c:ptCount val="5"/>
                <c:pt idx="0">
                  <c:v>20-Membership Dues</c:v>
                </c:pt>
                <c:pt idx="1">
                  <c:v>22-Recurring Gifts</c:v>
                </c:pt>
                <c:pt idx="2">
                  <c:v>21-Donations</c:v>
                </c:pt>
                <c:pt idx="3">
                  <c:v>23-Board Solicitation Major Gifts</c:v>
                </c:pt>
                <c:pt idx="4">
                  <c:v>28-Publications Materials Other</c:v>
                </c:pt>
              </c:strCache>
            </c:strRef>
          </c:cat>
          <c:val>
            <c:numRef>
              <c:f>'Chart Data'!$B$2:$B$6</c:f>
              <c:numCache>
                <c:formatCode>"$"#,##0</c:formatCode>
                <c:ptCount val="5"/>
                <c:pt idx="0">
                  <c:v>465000</c:v>
                </c:pt>
                <c:pt idx="1">
                  <c:v>330600</c:v>
                </c:pt>
                <c:pt idx="2">
                  <c:v>339200</c:v>
                </c:pt>
                <c:pt idx="3">
                  <c:v>20000</c:v>
                </c:pt>
                <c:pt idx="4">
                  <c:v>4200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3418423973362931"/>
          <c:y val="0.14192495921696574"/>
          <c:w val="0.52608213096559353"/>
          <c:h val="0.77324632952691652"/>
        </c:manualLayout>
      </c:layout>
      <c:pieChart>
        <c:varyColors val="1"/>
        <c:ser>
          <c:idx val="0"/>
          <c:order val="0"/>
          <c:tx>
            <c:strRef>
              <c:f>'Chart Data'!$A$13</c:f>
              <c:strCache>
                <c:ptCount val="1"/>
                <c:pt idx="0">
                  <c:v>Expenses</c:v>
                </c:pt>
              </c:strCache>
            </c:strRef>
          </c:tx>
          <c:dLbls>
            <c:dLbl>
              <c:idx val="4"/>
              <c:layout>
                <c:manualLayout>
                  <c:x val="-0.20606470388620074"/>
                  <c:y val="5.46255530443577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Val val="1"/>
              <c:showCatName val="1"/>
            </c:dLbl>
            <c:dLbl>
              <c:idx val="8"/>
              <c:dLblPos val="bestFit"/>
              <c:showVal val="1"/>
              <c:showCatName val="1"/>
            </c:dLbl>
            <c:dLbl>
              <c:idx val="9"/>
              <c:layout>
                <c:manualLayout>
                  <c:x val="0.21736606453605078"/>
                  <c:y val="1.720928440225559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Val val="1"/>
              <c:showCatName val="1"/>
            </c:dLbl>
            <c:spPr>
              <a:noFill/>
              <a:ln w="25400">
                <a:noFill/>
              </a:ln>
            </c:spPr>
            <c:showVal val="1"/>
            <c:showCatName val="1"/>
            <c:showLeaderLines val="1"/>
          </c:dLbls>
          <c:cat>
            <c:strRef>
              <c:f>'Chart Data'!$A$14:$A$23</c:f>
              <c:strCache>
                <c:ptCount val="10"/>
                <c:pt idx="0">
                  <c:v>45-Compensation</c:v>
                </c:pt>
                <c:pt idx="1">
                  <c:v>40-Adminstrative Costs</c:v>
                </c:pt>
                <c:pt idx="2">
                  <c:v>32-Fundraising Costs</c:v>
                </c:pt>
                <c:pt idx="3">
                  <c:v>33-Membership Fundraising Costs</c:v>
                </c:pt>
                <c:pt idx="4">
                  <c:v>85-Member Communication and Materials</c:v>
                </c:pt>
                <c:pt idx="5">
                  <c:v>88-Outreach</c:v>
                </c:pt>
                <c:pt idx="6">
                  <c:v>50-Affiliate Support</c:v>
                </c:pt>
                <c:pt idx="7">
                  <c:v>75-Litigation</c:v>
                </c:pt>
                <c:pt idx="8">
                  <c:v>55-Brand Development</c:v>
                </c:pt>
                <c:pt idx="9">
                  <c:v>80-Media</c:v>
                </c:pt>
              </c:strCache>
            </c:strRef>
          </c:cat>
          <c:val>
            <c:numRef>
              <c:f>'Chart Data'!$B$14:$B$23</c:f>
              <c:numCache>
                <c:formatCode>"$"#,##0</c:formatCode>
                <c:ptCount val="10"/>
                <c:pt idx="0">
                  <c:v>424000</c:v>
                </c:pt>
                <c:pt idx="1">
                  <c:v>346100</c:v>
                </c:pt>
                <c:pt idx="2">
                  <c:v>181200</c:v>
                </c:pt>
                <c:pt idx="3">
                  <c:v>124650</c:v>
                </c:pt>
                <c:pt idx="4">
                  <c:v>35000</c:v>
                </c:pt>
                <c:pt idx="5">
                  <c:v>12200</c:v>
                </c:pt>
                <c:pt idx="6">
                  <c:v>7100</c:v>
                </c:pt>
                <c:pt idx="7">
                  <c:v>4800</c:v>
                </c:pt>
                <c:pt idx="8">
                  <c:v>2700</c:v>
                </c:pt>
                <c:pt idx="9">
                  <c:v>1000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  <c:dispBlanksAs val="zero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C71D6A04494ABA86BECBEA3B45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3AF9-5C3C-4724-B1EE-EE0DDAE15951}"/>
      </w:docPartPr>
      <w:docPartBody>
        <w:p w:rsidR="001878A3" w:rsidRDefault="00FA154B">
          <w:pPr>
            <w:pStyle w:val="20C71D6A04494ABA86BECBEA3B45E2CD"/>
          </w:pPr>
          <w:r>
            <w:t>[Type the document title]</w:t>
          </w:r>
        </w:p>
      </w:docPartBody>
    </w:docPart>
    <w:docPart>
      <w:docPartPr>
        <w:name w:val="2F55DC3A1CFB4A4CB2B3852CF729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1A74-8572-4763-A0B5-CCF0E84F10CA}"/>
      </w:docPartPr>
      <w:docPartBody>
        <w:p w:rsidR="001878A3" w:rsidRDefault="00FA154B">
          <w:pPr>
            <w:pStyle w:val="2F55DC3A1CFB4A4CB2B3852CF7296F0F"/>
          </w:pPr>
          <w:r>
            <w:rPr>
              <w:b/>
              <w:color w:val="1F497D" w:themeColor="text2"/>
              <w:sz w:val="20"/>
            </w:rPr>
            <w:t>[Type the document title]</w:t>
          </w:r>
        </w:p>
      </w:docPartBody>
    </w:docPart>
    <w:docPart>
      <w:docPartPr>
        <w:name w:val="880032B476D14FC69F9924EB6949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5ADC-3CB4-4626-BB61-C9FE414C1B9B}"/>
      </w:docPartPr>
      <w:docPartBody>
        <w:p w:rsidR="001878A3" w:rsidRDefault="00FA154B">
          <w:pPr>
            <w:pStyle w:val="880032B476D14FC69F9924EB69496288"/>
          </w:pPr>
          <w:r>
            <w:rPr>
              <w:b/>
              <w:color w:val="1F497D" w:themeColor="text2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A154B"/>
    <w:rsid w:val="00064DF2"/>
    <w:rsid w:val="001878A3"/>
    <w:rsid w:val="00231B38"/>
    <w:rsid w:val="00A1758B"/>
    <w:rsid w:val="00D077C1"/>
    <w:rsid w:val="00FA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A3"/>
  </w:style>
  <w:style w:type="paragraph" w:styleId="Heading1">
    <w:name w:val="heading 1"/>
    <w:basedOn w:val="Normal"/>
    <w:next w:val="Normal"/>
    <w:link w:val="Heading1Char"/>
    <w:uiPriority w:val="9"/>
    <w:qFormat/>
    <w:rsid w:val="001878A3"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1F497D" w:themeColor="text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78A3"/>
    <w:pPr>
      <w:spacing w:before="240" w:after="80" w:line="264" w:lineRule="auto"/>
      <w:outlineLvl w:val="1"/>
    </w:pPr>
    <w:rPr>
      <w:rFonts w:eastAsiaTheme="minorHAnsi" w:cs="Times New Roman"/>
      <w:b/>
      <w:color w:val="4F81BD" w:themeColor="accent1"/>
      <w:spacing w:val="20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8A3"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sz w:val="23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E6C100A515458281D76AAC94DA14F9">
    <w:name w:val="3BE6C100A515458281D76AAC94DA14F9"/>
    <w:rsid w:val="001878A3"/>
  </w:style>
  <w:style w:type="paragraph" w:customStyle="1" w:styleId="938B42A854A94176971517EBD599A8CC">
    <w:name w:val="938B42A854A94176971517EBD599A8CC"/>
    <w:rsid w:val="001878A3"/>
  </w:style>
  <w:style w:type="paragraph" w:customStyle="1" w:styleId="01BAB73FAA984F8F861709615767CE56">
    <w:name w:val="01BAB73FAA984F8F861709615767CE56"/>
    <w:rsid w:val="001878A3"/>
  </w:style>
  <w:style w:type="paragraph" w:customStyle="1" w:styleId="6C27BA28A7AB419E82CD8B2D57FD35A7">
    <w:name w:val="6C27BA28A7AB419E82CD8B2D57FD35A7"/>
    <w:rsid w:val="001878A3"/>
  </w:style>
  <w:style w:type="paragraph" w:customStyle="1" w:styleId="20C71D6A04494ABA86BECBEA3B45E2CD">
    <w:name w:val="20C71D6A04494ABA86BECBEA3B45E2CD"/>
    <w:rsid w:val="001878A3"/>
  </w:style>
  <w:style w:type="paragraph" w:customStyle="1" w:styleId="DF151DEB75364DFFB1BFA9C89FAAD146">
    <w:name w:val="DF151DEB75364DFFB1BFA9C89FAAD146"/>
    <w:rsid w:val="001878A3"/>
  </w:style>
  <w:style w:type="character" w:customStyle="1" w:styleId="Heading1Char">
    <w:name w:val="Heading 1 Char"/>
    <w:basedOn w:val="DefaultParagraphFont"/>
    <w:link w:val="Heading1"/>
    <w:uiPriority w:val="9"/>
    <w:rsid w:val="001878A3"/>
    <w:rPr>
      <w:rFonts w:asciiTheme="majorHAnsi" w:eastAsiaTheme="minorHAnsi" w:hAnsiTheme="majorHAnsi" w:cs="Times New Roman"/>
      <w:caps/>
      <w:color w:val="1F497D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878A3"/>
    <w:rPr>
      <w:rFonts w:eastAsiaTheme="minorHAnsi" w:cs="Times New Roman"/>
      <w:b/>
      <w:color w:val="4F81BD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8A3"/>
    <w:rPr>
      <w:rFonts w:eastAsiaTheme="minorHAnsi" w:cs="Times New Roman"/>
      <w:b/>
      <w:color w:val="000000" w:themeColor="text1"/>
      <w:spacing w:val="10"/>
      <w:sz w:val="23"/>
      <w:szCs w:val="24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1878A3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C0504D" w:themeColor="accent2"/>
      <w:sz w:val="23"/>
      <w:szCs w:val="20"/>
      <w:shd w:val="clear" w:color="auto" w:fill="FFFFFF" w:themeFill="background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8A3"/>
    <w:rPr>
      <w:rFonts w:eastAsiaTheme="minorHAnsi" w:cs="Times New Roman"/>
      <w:b/>
      <w:color w:val="C0504D" w:themeColor="accent2"/>
      <w:sz w:val="23"/>
      <w:szCs w:val="20"/>
      <w:shd w:val="clear" w:color="auto" w:fill="FFFFFF" w:themeFill="background1"/>
      <w:lang w:eastAsia="ja-JP"/>
    </w:rPr>
  </w:style>
  <w:style w:type="paragraph" w:customStyle="1" w:styleId="FD3754E44C1748A0B17AA00B0479A106">
    <w:name w:val="FD3754E44C1748A0B17AA00B0479A106"/>
    <w:rsid w:val="001878A3"/>
  </w:style>
  <w:style w:type="paragraph" w:customStyle="1" w:styleId="2F55DC3A1CFB4A4CB2B3852CF7296F0F">
    <w:name w:val="2F55DC3A1CFB4A4CB2B3852CF7296F0F"/>
    <w:rsid w:val="001878A3"/>
  </w:style>
  <w:style w:type="paragraph" w:customStyle="1" w:styleId="880032B476D14FC69F9924EB69496288">
    <w:name w:val="880032B476D14FC69F9924EB69496288"/>
    <w:rsid w:val="001878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MedianReport.Dotx</Template>
  <TotalTime>1819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 Report</vt:lpstr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Treasurer Report</dc:title>
  <dc:creator>Tim Hagan</dc:creator>
  <cp:lastModifiedBy>Tim Hagan</cp:lastModifiedBy>
  <cp:revision>12</cp:revision>
  <dcterms:created xsi:type="dcterms:W3CDTF">2012-11-12T00:08:00Z</dcterms:created>
  <dcterms:modified xsi:type="dcterms:W3CDTF">2012-11-13T13:44:00Z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