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March 28-29, 2015 - Phoenix, AZ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  <w:t>9:00 am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Counsel</w:t>
      </w:r>
      <w:r>
        <w:rPr>
          <w:u w:val="single"/>
          <w:rtl w:val="0"/>
          <w:lang w:val="en-US"/>
        </w:rPr>
        <w:t xml:space="preserve"> Search Report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 xml:space="preserve">Appointment of </w:t>
      </w:r>
      <w:r>
        <w:rPr>
          <w:rtl w:val="0"/>
          <w:lang w:val="en-US"/>
        </w:rPr>
        <w:t>Awards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Appointment of Platform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Appointment of Bylaws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Appointment of Credentials Committee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Ballot Access Report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Unfinished Business and Items Postponed from Previous Meeting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</w:rPr>
        <w:tab/>
        <w:t>Evaluate Logo Redesign Proposals (Vohra)</w:t>
        <w:tab/>
        <w:t>60 minutes</w:t>
      </w:r>
    </w:p>
    <w:p>
      <w:pPr>
        <w:pStyle w:val="Normal"/>
        <w:tabs>
          <w:tab w:val="left" w:pos="360"/>
          <w:tab w:val="left" w:pos="7200"/>
        </w:tabs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Amend Policy Manual to Create a Ballot Access Committee (Olsen)</w:t>
        <w:tab/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See written motion distributed to the LNC-Business list.</w:t>
      </w:r>
    </w:p>
    <w:p>
      <w:pPr>
        <w:pStyle w:val="Normal"/>
        <w:tabs>
          <w:tab w:val="left" w:pos="360"/>
          <w:tab w:val="left" w:pos="7200"/>
        </w:tabs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Purchase Bronze sponsorship of LPEX (Olsen)</w:t>
        <w:tab/>
        <w:t>10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 xml:space="preserve">LNC purchase a Bronze Sponsorship of the LSLA LP Expo event to be held in Las Vegas may 28 </w:t>
      </w:r>
      <w:r>
        <w:rPr>
          <w:rFonts w:hAnsi="Times New Roman" w:hint="default"/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May31.  The $3,000 cost to be charged against the Affiliate Support budget line.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Information concerning the LP Expo event is available at </w:t>
      </w:r>
      <w:hyperlink r:id="rId4" w:history="1">
        <w:r>
          <w:rPr>
            <w:rStyle w:val="Hyperlink.0"/>
            <w:sz w:val="22"/>
            <w:szCs w:val="22"/>
            <w:rtl w:val="0"/>
            <w:lang w:val="en-US"/>
          </w:rPr>
          <w:t>http://www.lpex.org</w:t>
        </w:r>
      </w:hyperlink>
      <w:r>
        <w:rPr>
          <w:sz w:val="22"/>
          <w:szCs w:val="22"/>
          <w:rtl w:val="0"/>
          <w:lang w:val="en-US"/>
        </w:rPr>
        <w:t>.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Adjournment</w:t>
      </w:r>
      <w:r>
        <w:rPr>
          <w:rtl w:val="0"/>
        </w:rPr>
        <w:tab/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475</w:t>
      </w:r>
      <w:r>
        <w:rPr>
          <w:rtl w:val="0"/>
          <w:lang w:val="en-US"/>
        </w:rPr>
        <w:t xml:space="preserve"> minutes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lpex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