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CoverLogo"/>
        <w:ind w:left="0"/>
        <w:ind w:right="0"/>
        <w:spacing w:before="0" w:after="0"/>
      </w:pPr>
      <w:r>
        <w:rPr>
          <w:color w:val="7F7F7F"/>
          <w:rFonts w:ascii="Trajan Pro" w:hAnsi="Trajan Pro"/>
          <w:sz w:val="40"/>
          <w:szCs w:val="40"/>
        </w:rPr>
        <w:t>Libertarian National Committee</w:t>
      </w:r>
    </w:p>
    <w:p>
      <w:pPr>
        <w:pStyle w:val="Normal"/>
        <w:jc w:val="center"/>
      </w:pPr>
      <w:r>
        <w:rPr>
          <w:noProof/>
        </w:rPr>
        <w:drawing>
          <wp:anchor distT="0" distB="0" distR="0" distL="0" relativeHeight="251658240" behindDoc="0" allowOverlap="1" layoutInCell="1" locked="0" simplePos="0" wp14:anchorId="7DEABBC1" wp14:editId="3131C523">
            <wp:simplePos x="0" y="0"/>
            <wp:positionH relativeFrom="column">
              <wp:posOffset>0</wp:posOffset>
            </wp:positionH>
            <wp:positionV relativeFrom="paragraph">
              <wp:posOffset>209550</wp:posOffset>
            </wp:positionV>
            <wp:extent cx="6397625" cy="20351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5"/>
                    <a:stretch>
                      <a:fillRect/>
                    </a:stretch>
                  </pic:blipFill>
                  <pic:spPr bwMode="auto">
                    <a:xfrm>
                      <a:off x="0" y="0"/>
                      <a:ext cx="6397625" cy="2035175"/>
                    </a:xfrm>
                    <a:prstGeom prst="rect">
                      <a:avLst/>
                    </a:prstGeom>
                    <a:noFill/>
                  </pic:spPr>
                </pic:pic>
              </a:graphicData>
            </a:graphic>
          </wp:anchor>
        </w:drawing>
      </w:r>
    </w:p>
    <w:p>
      <w:pPr>
        <w:pStyle w:val="CoverLogo"/>
        <w:ind w:left="0"/>
        <w:ind w:right="0"/>
        <w:spacing w:before="0" w:after="0"/>
        <w:rPr>
          <w:color w:val="7F7F7F"/>
          <w:rFonts w:ascii="Trajan Pro" w:hAnsi="Trajan Pro"/>
        </w:rPr>
      </w:pPr>
      <w:r>
        <w:rPr>
          <w:color w:val="7F7F7F"/>
          <w:rFonts w:ascii="Trajan Pro" w:hAnsi="Trajan Pro"/>
          <w:sz w:val="60"/>
          <w:szCs w:val="60"/>
        </w:rPr>
        <w:t>Region 3 Report</w:t>
      </w:r>
    </w:p>
    <w:p>
      <w:pPr>
        <w:pStyle w:val="CoverLogo"/>
        <w:ind w:left="0"/>
        <w:ind w:right="0"/>
        <w:spacing w:before="0" w:after="0"/>
        <w:rPr>
          <w:color w:val="7F7F7F"/>
          <w:rFonts w:ascii="Trajan Pro" w:hAnsi="Trajan Pro"/>
        </w:rPr>
      </w:pPr>
    </w:p>
    <w:p>
      <w:pPr>
        <w:pStyle w:val="CoverLogo"/>
        <w:ind w:left="0"/>
        <w:ind w:right="0"/>
        <w:spacing w:before="0" w:after="0"/>
        <w:rPr>
          <w:color w:val="404040"/>
          <w:rFonts w:ascii="Trajan Pro" w:hAnsi="Trajan Pro"/>
        </w:rPr>
      </w:pPr>
      <w:r>
        <w:rPr>
          <w:noProof/>
        </w:rPr>
        <w:drawing>
          <wp:inline distB="0" distL="0" distR="0" distT="0">
            <wp:extent cx="6401435"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6"/>
                    <a:stretch>
                      <a:fillRect/>
                    </a:stretch>
                  </pic:blipFill>
                  <pic:spPr bwMode="auto">
                    <a:xfrm>
                      <a:off x="0" y="0"/>
                      <a:ext cx="6401435" cy="1200150"/>
                    </a:xfrm>
                    <a:prstGeom prst="rect">
                      <a:avLst/>
                    </a:prstGeom>
                    <a:noFill/>
                  </pic:spPr>
                </pic:pic>
              </a:graphicData>
            </a:graphic>
          </wp:inline>
        </w:drawing>
      </w:r>
    </w:p>
    <w:p>
      <w:pPr>
        <w:pStyle w:val="Subtitle"/>
        <w:spacing w:before="0" w:after="0"/>
      </w:pPr>
      <w:r>
        <w:rPr>
          <w:color w:val="404040"/>
          <w:rFonts w:ascii="Trajan Pro" w:hAnsi="Trajan Pro"/>
        </w:rPr>
        <w:t>Regional Report for Region 3</w:t>
      </w:r>
      <w:r>
        <w:rPr>
          <w:color w:val="404040"/>
          <w:rFonts w:ascii="Trajan Pro" w:hAnsi="Trajan Pro"/>
        </w:rPr>
        <w:br/>
      </w:r>
      <w:r>
        <w:rPr>
          <w:color w:val="404040"/>
          <w:rFonts w:ascii="Trajan Pro" w:hAnsi="Trajan Pro"/>
        </w:rPr>
        <w:t>Libertarian National Committee Meeting</w:t>
      </w:r>
      <w:r>
        <w:rPr>
          <w:color w:val="404040"/>
          <w:rFonts w:ascii="Trajan Pro" w:hAnsi="Trajan Pro"/>
        </w:rPr>
        <w:br/>
      </w:r>
      <w:r>
        <w:rPr>
          <w:color w:val="404040"/>
          <w:rFonts w:ascii="Trajan Pro" w:hAnsi="Trajan Pro"/>
        </w:rPr>
        <w:t>April 15-16</w:t>
      </w:r>
      <w:r>
        <w:rPr>
          <w:color w:val="404040"/>
          <w:rFonts w:ascii="Trajan Pro" w:hAnsi="Trajan Pro"/>
        </w:rPr>
        <w:t>, 2017</w:t>
      </w:r>
      <w:r>
        <w:rPr>
          <w:color w:val="404040"/>
          <w:rFonts w:ascii="Trajan Pro" w:hAnsi="Trajan Pro"/>
        </w:rPr>
        <w:br/>
      </w:r>
      <w:r>
        <w:rPr>
          <w:color w:val="404040"/>
          <w:rFonts w:ascii="Trajan Pro" w:hAnsi="Trajan Pro"/>
        </w:rPr>
        <w:t>submitted by Brett C. Bittner</w:t>
      </w:r>
    </w:p>
    <w:p>
      <w:pPr>
        <w:pStyle w:val="NoSpacing"/>
      </w:pPr>
    </w:p>
    <w:p>
      <w:pPr>
        <w:pStyle w:val="Normal"/>
        <w:sectPr>
          <w:headerReference r:id="rId30" w:type="default"/>
          <w:headerReference r:id="rId31" w:type="first"/>
          <w:footerReference r:id="rId32" w:type="even"/>
          <w:footerReference r:id="rId33" w:type="default"/>
          <w:footerReference r:id="rId34" w:type="first"/>
          <w:pgSz w:w="12240" w:h="15840"/>
          <w:pgMar w:left="1080" w:right="1080" w:top="720" w:bottom="630"/>
          <w:titlePg/>
        </w:sectPr>
      </w:pPr>
    </w:p>
    <w:p>
      <w:pPr>
        <w:pStyle w:val="CompanyInfo"/>
        <w:spacing w:before="120"/>
        <w:rPr>
          <w:sz w:val="24"/>
          <w:szCs w:val="24"/>
        </w:rPr>
      </w:pPr>
      <w:r>
        <w:rPr>
          <w:b/>
          <w:u w:val="single"/>
          <w:sz w:val="24"/>
          <w:szCs w:val="24"/>
        </w:rPr>
        <w:t>Region 3 Representative</w:t>
      </w:r>
    </w:p>
    <w:p>
      <w:pPr>
        <w:pStyle w:val="CompanyInfo"/>
        <w:spacing w:before="120"/>
      </w:pPr>
      <w:r>
        <w:rPr>
          <w:sz w:val="24"/>
          <w:szCs w:val="24"/>
        </w:rPr>
        <w:t>Mr. Brett C. Bittner, Indiana</w:t>
      </w:r>
      <w:r>
        <w:rPr>
          <w:sz w:val="24"/>
          <w:szCs w:val="24"/>
        </w:rPr>
        <w:br/>
      </w:r>
      <w:r>
        <w:rPr>
          <w:sz w:val="24"/>
          <w:szCs w:val="24"/>
        </w:rPr>
        <w:t>Libertarian National Committee</w:t>
      </w:r>
    </w:p>
    <w:p>
      <w:pPr>
        <w:pStyle w:val="CompanyInfo"/>
        <w:spacing w:before="120"/>
        <w:rPr>
          <w:b/>
          <w:sz w:val="24"/>
          <w:szCs w:val="24"/>
        </w:rPr>
      </w:pPr>
      <w:r>
        <w:rPr>
          <w:sz w:val="24"/>
          <w:szCs w:val="24"/>
        </w:rPr>
        <w:t xml:space="preserve">T: 404.492.6524 </w:t>
      </w:r>
    </w:p>
    <w:p>
      <w:pPr>
        <w:pStyle w:val="CompanyInfo"/>
        <w:spacing w:before="120"/>
      </w:pPr>
      <w:r>
        <w:rPr>
          <w:b/>
          <w:sz w:val="24"/>
          <w:szCs w:val="24"/>
        </w:rPr>
        <w:t>E</w:t>
      </w:r>
      <w:r>
        <w:rPr>
          <w:sz w:val="24"/>
          <w:szCs w:val="24"/>
        </w:rPr>
        <w:t xml:space="preserve">: </w:t>
      </w:r>
      <w:hyperlink r:id="rId10">
        <w:r>
          <w:rPr>
            <w:rStyle w:val="Hyperlink"/>
            <w:sz w:val="24"/>
            <w:szCs w:val="24"/>
          </w:rPr>
          <w:t>Brett.Bittner@lp.org</w:t>
        </w:r>
      </w:hyperlink>
      <w:r>
        <w:rPr>
          <w:sz w:val="24"/>
          <w:szCs w:val="24"/>
        </w:rPr>
        <w:t xml:space="preserve"> </w:t>
      </w:r>
    </w:p>
    <w:p>
      <w:pPr>
        <w:pStyle w:val="CompanyInfo"/>
        <w:spacing w:before="120"/>
      </w:pPr>
      <w:r>
        <w:rPr>
          <w:sz w:val="24"/>
          <w:szCs w:val="24"/>
        </w:rPr>
        <w:t xml:space="preserve"> </w:t>
      </w:r>
    </w:p>
    <w:p>
      <w:pPr>
        <w:pStyle w:val="CompanyInfo"/>
        <w:spacing w:before="120"/>
      </w:pPr>
    </w:p>
    <w:p>
      <w:pPr>
        <w:pStyle w:val="CompanyInfo"/>
        <w:spacing w:before="120"/>
      </w:pPr>
      <w:r>
        <w:rPr>
          <w:b/>
          <w:u w:val="single"/>
          <w:sz w:val="24"/>
        </w:rPr>
      </w:r>
    </w:p>
    <w:p>
      <w:pPr>
        <w:pStyle w:val="CompanyInfo"/>
        <w:spacing w:before="120"/>
      </w:pPr>
      <w:r>
        <w:rPr>
          <w:b/>
          <w:u w:val="single"/>
          <w:sz w:val="24"/>
        </w:rPr>
        <w:t>Region 3 Alternate</w:t>
      </w:r>
      <w:r>
        <w:rPr>
          <w:b/>
          <w:u w:val="single"/>
          <w:sz w:val="24"/>
        </w:rPr>
        <w:tab/>
      </w:r>
    </w:p>
    <w:p>
      <w:pPr>
        <w:pStyle w:val="CompanyInfo"/>
        <w:spacing w:before="120"/>
      </w:pPr>
      <w:r>
        <w:rPr>
          <w:sz w:val="24"/>
          <w:szCs w:val="24"/>
        </w:rPr>
        <w:t>Mr. Ken Moellman, Kentucky</w:t>
      </w:r>
      <w:r>
        <w:rPr>
          <w:sz w:val="24"/>
          <w:szCs w:val="24"/>
        </w:rPr>
        <w:br/>
      </w:r>
      <w:r>
        <w:rPr>
          <w:sz w:val="24"/>
          <w:szCs w:val="24"/>
        </w:rPr>
        <w:t>Libertarian National Committee</w:t>
      </w:r>
    </w:p>
    <w:p>
      <w:pPr>
        <w:pStyle w:val="CompanyInfo"/>
        <w:spacing w:before="120"/>
        <w:rPr>
          <w:b/>
          <w:sz w:val="24"/>
          <w:szCs w:val="24"/>
        </w:rPr>
      </w:pPr>
      <w:r>
        <w:rPr>
          <w:sz w:val="24"/>
          <w:szCs w:val="24"/>
        </w:rPr>
        <w:t xml:space="preserve">T: 859.446.8308 </w:t>
      </w:r>
    </w:p>
    <w:p>
      <w:pPr>
        <w:pStyle w:val="CompanyInfo"/>
        <w:spacing w:before="120"/>
      </w:pPr>
      <w:r>
        <w:rPr>
          <w:b/>
          <w:sz w:val="24"/>
          <w:szCs w:val="24"/>
        </w:rPr>
        <w:t>E</w:t>
      </w:r>
      <w:r>
        <w:rPr>
          <w:sz w:val="24"/>
          <w:szCs w:val="24"/>
        </w:rPr>
        <w:t xml:space="preserve">: </w:t>
      </w:r>
      <w:hyperlink r:id="rId11">
        <w:r>
          <w:rPr>
            <w:rStyle w:val="Hyperlink"/>
            <w:sz w:val="24"/>
            <w:szCs w:val="24"/>
          </w:rPr>
          <w:t>mailto:Ken.Moellman@lp.org</w:t>
        </w:r>
      </w:hyperlink>
      <w:r>
        <w:rPr>
          <w:sz w:val="24"/>
          <w:szCs w:val="24"/>
        </w:rPr>
        <w:t xml:space="preserve"> </w:t>
      </w:r>
    </w:p>
    <w:p>
      <w:pPr>
        <w:pStyle w:val="CompanyInfo"/>
        <w:rPr>
          <w:sz w:val="24"/>
          <w:szCs w:val="24"/>
        </w:rPr>
      </w:pPr>
    </w:p>
    <w:p>
      <w:pPr>
        <w:pStyle w:val="Normal"/>
      </w:pPr>
    </w:p>
    <w:p>
      <w:pPr>
        <w:pStyle w:val="Normal"/>
        <w:sectPr>
          <w:pgSz w:w="12240" w:h="15840"/>
          <w:pgMar w:left="1080" w:right="1080" w:top="720" w:bottom="630"/>
          <w:type w:val="continuous"/>
          <w:cols w:num="2"/>
        </w:sectPr>
      </w:pPr>
      <w:r>
        <w:rPr/>
        <w:br w:type="page"/>
      </w:r>
    </w:p>
    <w:p>
      <w:pPr>
        <w:pStyle w:val="Normal"/>
        <w:sectPr>
          <w:pgSz w:w="12240" w:h="15840"/>
          <w:pgMar w:left="1080" w:right="1080" w:top="720" w:bottom="630"/>
          <w:type w:val="continuous"/>
        </w:sectPr>
      </w:pPr>
    </w:p>
    <w:p>
      <w:pPr>
        <w:pStyle w:val="Normal"/>
        <w:sectPr>
          <w:pgSz w:w="12240" w:h="15840"/>
          <w:pgMar w:left="1080" w:right="1080" w:top="720" w:bottom="630"/>
          <w:type w:val="continuous"/>
        </w:sectPr>
      </w:pPr>
    </w:p>
    <w:p>
      <w:pPr>
        <w:pStyle w:val="Normal"/>
        <w:sectPr>
          <w:pgSz w:w="12240" w:h="15840"/>
          <w:pgMar w:left="1080" w:right="1080" w:top="720" w:bottom="630"/>
          <w:type w:val="continuous"/>
        </w:sectPr>
      </w:pPr>
    </w:p>
    <w:p>
      <w:pPr>
        <w:pStyle w:val="Normal"/>
        <w:sectPr>
          <w:pgSz w:w="12240" w:h="15840"/>
          <w:pgMar w:left="1080" w:right="1080" w:top="720" w:bottom="630"/>
          <w:type w:val="continuous"/>
        </w:sectPr>
      </w:pPr>
    </w:p>
    <w:p>
      <w:pPr>
        <w:pStyle w:val="CompanyInfo"/>
        <w:jc w:val="left"/>
        <w:spacing w:before="120"/>
      </w:pPr>
    </w:p>
    <w:p>
      <w:pPr>
        <w:pStyle w:val="ContentsHeading"/>
      </w:pPr>
      <w:r>
        <w:rPr/>
        <w:t>Contents</w:t>
      </w:r>
    </w:p>
    <w:p>
      <w:pPr>
        <w:pStyle w:val="TOC1"/>
      </w:pPr>
      <w:r>
        <w:rPr>
          <w:rStyle w:val="IndexLink"/>
        </w:rPr>
        <w:t>Region 3 Overview</w:t>
      </w:r>
      <w:r>
        <w:rPr>
          <w:rStyle w:val="IndexLink"/>
        </w:rPr>
        <w:tab/>
      </w:r>
      <w:r>
        <w:rPr>
          <w:rStyle w:val="IndexLink"/>
        </w:rPr>
        <w:t>4</w:t>
      </w:r>
    </w:p>
    <w:p>
      <w:pPr>
        <w:pStyle w:val="TOC2"/>
      </w:pPr>
      <w:r>
        <w:rPr>
          <w:rStyle w:val="IndexLink"/>
        </w:rPr>
        <w:t>National Membership for the Region</w:t>
      </w:r>
      <w:r>
        <w:rPr>
          <w:rStyle w:val="IndexLink"/>
        </w:rPr>
        <w:tab/>
      </w:r>
      <w:r>
        <w:rPr>
          <w:rStyle w:val="IndexLink"/>
        </w:rPr>
        <w:t>4</w:t>
      </w:r>
    </w:p>
    <w:p>
      <w:pPr>
        <w:pStyle w:val="TOC1"/>
      </w:pPr>
      <w:r>
        <w:rPr>
          <w:rStyle w:val="IndexLink"/>
        </w:rPr>
        <w:t>Libertarian Party of Indiana</w:t>
      </w:r>
      <w:r>
        <w:rPr>
          <w:rStyle w:val="IndexLink"/>
        </w:rPr>
        <w:tab/>
      </w:r>
      <w:r>
        <w:rPr>
          <w:rStyle w:val="IndexLink"/>
        </w:rPr>
        <w:t>5</w:t>
      </w:r>
    </w:p>
    <w:p>
      <w:pPr>
        <w:pStyle w:val="TOC2"/>
      </w:pPr>
      <w:r>
        <w:rPr>
          <w:rStyle w:val="IndexLink"/>
        </w:rPr>
        <w:t>State Organization</w:t>
      </w:r>
      <w:r>
        <w:rPr>
          <w:rStyle w:val="IndexLink"/>
        </w:rPr>
        <w:tab/>
      </w:r>
      <w:r>
        <w:rPr>
          <w:rStyle w:val="IndexLink"/>
        </w:rPr>
        <w:t>5</w:t>
      </w:r>
    </w:p>
    <w:p>
      <w:pPr>
        <w:pStyle w:val="TOC2"/>
      </w:pPr>
      <w:r>
        <w:rPr>
          <w:rStyle w:val="IndexLink"/>
        </w:rPr>
        <w:t>State Level Membership</w:t>
      </w:r>
      <w:r>
        <w:rPr>
          <w:rStyle w:val="IndexLink"/>
        </w:rPr>
        <w:tab/>
      </w:r>
      <w:r>
        <w:rPr>
          <w:rStyle w:val="IndexLink"/>
        </w:rPr>
        <w:t>5</w:t>
      </w:r>
    </w:p>
    <w:p>
      <w:pPr>
        <w:pStyle w:val="TOC2"/>
      </w:pPr>
      <w:r>
        <w:rPr>
          <w:rStyle w:val="IndexLink"/>
        </w:rPr>
        <w:t>Sub-Affiliates</w:t>
      </w:r>
      <w:r>
        <w:rPr>
          <w:rStyle w:val="IndexLink"/>
        </w:rPr>
        <w:tab/>
      </w:r>
      <w:r>
        <w:rPr>
          <w:rStyle w:val="IndexLink"/>
        </w:rPr>
        <w:t>5</w:t>
      </w:r>
    </w:p>
    <w:p>
      <w:pPr>
        <w:pStyle w:val="TOC2"/>
      </w:pPr>
      <w:r>
        <w:rPr>
          <w:rStyle w:val="IndexLink"/>
        </w:rPr>
        <w:t>Elections</w:t>
      </w:r>
      <w:r>
        <w:rPr>
          <w:rStyle w:val="IndexLink"/>
        </w:rPr>
        <w:tab/>
      </w:r>
      <w:r>
        <w:rPr>
          <w:rStyle w:val="IndexLink"/>
        </w:rPr>
        <w:t>5</w:t>
      </w:r>
    </w:p>
    <w:p>
      <w:pPr>
        <w:pStyle w:val="TOC2"/>
      </w:pPr>
      <w:r>
        <w:rPr>
          <w:rStyle w:val="IndexLink"/>
        </w:rPr>
        <w:t>Ballot Access</w:t>
      </w:r>
      <w:r>
        <w:rPr>
          <w:rStyle w:val="IndexLink"/>
        </w:rPr>
        <w:tab/>
      </w:r>
      <w:r>
        <w:rPr>
          <w:rStyle w:val="IndexLink"/>
        </w:rPr>
        <w:t>7</w:t>
      </w:r>
    </w:p>
    <w:p>
      <w:pPr>
        <w:pStyle w:val="TOC2"/>
      </w:pPr>
      <w:r>
        <w:rPr>
          <w:rStyle w:val="IndexLink"/>
        </w:rPr>
        <w:t>Activities</w:t>
      </w:r>
      <w:r>
        <w:rPr>
          <w:rStyle w:val="IndexLink"/>
        </w:rPr>
        <w:tab/>
      </w:r>
      <w:r>
        <w:rPr/>
        <w:t>7</w:t>
      </w:r>
    </w:p>
    <w:p>
      <w:pPr>
        <w:pStyle w:val="TOC2"/>
      </w:pPr>
      <w:r>
        <w:rPr>
          <w:rStyle w:val="IndexLink"/>
        </w:rPr>
        <w:t>Finances &amp; Fundraising</w:t>
      </w:r>
      <w:r>
        <w:rPr>
          <w:rStyle w:val="IndexLink"/>
        </w:rPr>
        <w:tab/>
      </w:r>
      <w:r>
        <w:rPr>
          <w:rStyle w:val="IndexLink"/>
        </w:rPr>
        <w:t>8</w:t>
      </w:r>
    </w:p>
    <w:p>
      <w:pPr>
        <w:pStyle w:val="TOC2"/>
      </w:pPr>
      <w:r>
        <w:rPr>
          <w:rStyle w:val="IndexLink"/>
        </w:rPr>
        <w:t>Media Coverage</w:t>
      </w:r>
      <w:r>
        <w:rPr>
          <w:rStyle w:val="IndexLink"/>
        </w:rPr>
        <w:tab/>
      </w:r>
      <w:r>
        <w:rPr>
          <w:rStyle w:val="IndexLink"/>
        </w:rPr>
        <w:t>8</w:t>
      </w:r>
    </w:p>
    <w:p>
      <w:pPr>
        <w:pStyle w:val="TOC2"/>
      </w:pPr>
      <w:r>
        <w:rPr>
          <w:rStyle w:val="IndexLink"/>
        </w:rPr>
        <w:t>Information Technology</w:t>
      </w:r>
      <w:r>
        <w:rPr>
          <w:rStyle w:val="IndexLink"/>
        </w:rPr>
        <w:tab/>
      </w:r>
      <w:r>
        <w:rPr/>
        <w:t>8</w:t>
      </w:r>
    </w:p>
    <w:p>
      <w:pPr>
        <w:pStyle w:val="TOC2"/>
      </w:pPr>
      <w:r>
        <w:rPr>
          <w:rStyle w:val="IndexLink"/>
        </w:rPr>
        <w:t>Other</w:t>
      </w:r>
      <w:r>
        <w:rPr>
          <w:rStyle w:val="IndexLink"/>
        </w:rPr>
        <w:tab/>
      </w:r>
      <w:r>
        <w:rPr/>
        <w:t>8</w:t>
      </w:r>
    </w:p>
    <w:p>
      <w:pPr>
        <w:pStyle w:val="TOC1"/>
      </w:pPr>
      <w:r>
        <w:rPr>
          <w:rStyle w:val="IndexLink"/>
        </w:rPr>
        <w:t>Libertarian Party of Kentucky</w:t>
      </w:r>
      <w:r>
        <w:rPr>
          <w:rStyle w:val="IndexLink"/>
        </w:rPr>
        <w:tab/>
      </w:r>
      <w:r>
        <w:rPr/>
        <w:t>9</w:t>
      </w:r>
    </w:p>
    <w:p>
      <w:pPr>
        <w:pStyle w:val="TOC2"/>
      </w:pPr>
      <w:r>
        <w:rPr>
          <w:rStyle w:val="IndexLink"/>
        </w:rPr>
        <w:t>State Organization</w:t>
      </w:r>
      <w:r>
        <w:rPr>
          <w:rStyle w:val="IndexLink"/>
        </w:rPr>
        <w:tab/>
      </w:r>
      <w:r>
        <w:rPr/>
        <w:t>9</w:t>
      </w:r>
    </w:p>
    <w:p>
      <w:pPr>
        <w:pStyle w:val="TOC2"/>
      </w:pPr>
      <w:r>
        <w:rPr>
          <w:rStyle w:val="IndexLink"/>
        </w:rPr>
        <w:t>State Level Membership</w:t>
      </w:r>
      <w:r>
        <w:rPr>
          <w:rStyle w:val="IndexLink"/>
        </w:rPr>
        <w:tab/>
      </w:r>
      <w:r>
        <w:rPr/>
        <w:t>9</w:t>
      </w:r>
    </w:p>
    <w:p>
      <w:pPr>
        <w:pStyle w:val="TOC2"/>
      </w:pPr>
      <w:r>
        <w:rPr>
          <w:rStyle w:val="IndexLink"/>
        </w:rPr>
        <w:t>Sub-Affiliates</w:t>
      </w:r>
      <w:r>
        <w:rPr>
          <w:rStyle w:val="IndexLink"/>
        </w:rPr>
        <w:tab/>
      </w:r>
      <w:r>
        <w:rPr/>
        <w:t>9</w:t>
      </w:r>
    </w:p>
    <w:p>
      <w:pPr>
        <w:pStyle w:val="TOC2"/>
      </w:pPr>
      <w:r>
        <w:rPr>
          <w:rStyle w:val="IndexLink"/>
        </w:rPr>
        <w:t>Elections</w:t>
      </w:r>
      <w:r>
        <w:rPr>
          <w:rStyle w:val="IndexLink"/>
        </w:rPr>
        <w:tab/>
      </w:r>
      <w:r>
        <w:rPr/>
        <w:t>9</w:t>
      </w:r>
    </w:p>
    <w:p>
      <w:pPr>
        <w:pStyle w:val="TOC2"/>
      </w:pPr>
      <w:r>
        <w:rPr>
          <w:rStyle w:val="IndexLink"/>
        </w:rPr>
        <w:t>Activities</w:t>
      </w:r>
      <w:r>
        <w:rPr>
          <w:rStyle w:val="IndexLink"/>
        </w:rPr>
        <w:tab/>
      </w:r>
      <w:r>
        <w:rPr>
          <w:rStyle w:val="IndexLink"/>
        </w:rPr>
        <w:t>1</w:t>
      </w:r>
      <w:r>
        <w:rPr/>
        <w:t>0</w:t>
      </w:r>
    </w:p>
    <w:p>
      <w:pPr>
        <w:pStyle w:val="TOC2"/>
      </w:pPr>
      <w:r>
        <w:rPr>
          <w:rStyle w:val="IndexLink"/>
        </w:rPr>
        <w:t>Finances &amp; Fundraising</w:t>
      </w:r>
      <w:r>
        <w:rPr>
          <w:rStyle w:val="IndexLink"/>
        </w:rPr>
        <w:tab/>
      </w:r>
      <w:r>
        <w:rPr>
          <w:rStyle w:val="IndexLink"/>
        </w:rPr>
        <w:t>1</w:t>
      </w:r>
      <w:r>
        <w:rPr/>
        <w:t>0</w:t>
      </w:r>
    </w:p>
    <w:p>
      <w:pPr>
        <w:pStyle w:val="TOC2"/>
      </w:pPr>
      <w:r>
        <w:rPr>
          <w:rStyle w:val="IndexLink"/>
        </w:rPr>
        <w:t>Media Coverage</w:t>
      </w:r>
      <w:r>
        <w:rPr>
          <w:rStyle w:val="IndexLink"/>
        </w:rPr>
        <w:tab/>
      </w:r>
      <w:r>
        <w:rPr>
          <w:rStyle w:val="IndexLink"/>
        </w:rPr>
        <w:t>1</w:t>
      </w:r>
      <w:r>
        <w:rPr/>
        <w:t>0</w:t>
      </w:r>
    </w:p>
    <w:p>
      <w:pPr>
        <w:pStyle w:val="TOC2"/>
      </w:pPr>
      <w:r>
        <w:rPr>
          <w:rStyle w:val="IndexLink"/>
        </w:rPr>
        <w:t>Information Technology</w:t>
      </w:r>
      <w:r>
        <w:rPr>
          <w:rStyle w:val="IndexLink"/>
        </w:rPr>
        <w:tab/>
      </w:r>
      <w:r>
        <w:rPr>
          <w:rStyle w:val="IndexLink"/>
        </w:rPr>
        <w:t>1</w:t>
      </w:r>
      <w:r>
        <w:rPr/>
        <w:t>1</w:t>
      </w:r>
    </w:p>
    <w:p>
      <w:pPr>
        <w:pStyle w:val="TOC2"/>
      </w:pPr>
      <w:r>
        <w:rPr>
          <w:rStyle w:val="IndexLink"/>
        </w:rPr>
        <w:t>Other</w:t>
      </w:r>
      <w:r>
        <w:rPr>
          <w:rStyle w:val="IndexLink"/>
        </w:rPr>
        <w:tab/>
      </w:r>
      <w:r>
        <w:rPr>
          <w:rStyle w:val="IndexLink"/>
        </w:rPr>
        <w:t>1</w:t>
      </w:r>
      <w:r>
        <w:rPr/>
        <w:t>1</w:t>
      </w:r>
    </w:p>
    <w:p>
      <w:pPr>
        <w:pStyle w:val="TOC1"/>
      </w:pPr>
      <w:r>
        <w:rPr>
          <w:rStyle w:val="IndexLink"/>
        </w:rPr>
        <w:t>Libertarian Party of Michigan</w:t>
      </w:r>
      <w:r>
        <w:rPr>
          <w:rStyle w:val="IndexLink"/>
        </w:rPr>
        <w:tab/>
      </w:r>
      <w:r>
        <w:rPr>
          <w:rStyle w:val="IndexLink"/>
        </w:rPr>
        <w:t>1</w:t>
      </w:r>
      <w:r>
        <w:rPr/>
        <w:t>2</w:t>
      </w:r>
    </w:p>
    <w:p>
      <w:pPr>
        <w:pStyle w:val="TOC2"/>
      </w:pPr>
      <w:r>
        <w:rPr>
          <w:rStyle w:val="IndexLink"/>
        </w:rPr>
        <w:t>State Organization</w:t>
      </w:r>
      <w:r>
        <w:rPr>
          <w:rStyle w:val="IndexLink"/>
        </w:rPr>
        <w:tab/>
      </w:r>
      <w:r>
        <w:rPr>
          <w:rStyle w:val="IndexLink"/>
        </w:rPr>
        <w:t>1</w:t>
      </w:r>
      <w:r>
        <w:rPr/>
        <w:t>2</w:t>
      </w:r>
    </w:p>
    <w:p>
      <w:pPr>
        <w:pStyle w:val="TOC2"/>
      </w:pPr>
      <w:r>
        <w:rPr>
          <w:rStyle w:val="IndexLink"/>
        </w:rPr>
        <w:t>State Level Membership</w:t>
      </w:r>
      <w:r>
        <w:rPr>
          <w:rStyle w:val="IndexLink"/>
        </w:rPr>
        <w:tab/>
      </w:r>
      <w:r>
        <w:rPr>
          <w:rStyle w:val="IndexLink"/>
        </w:rPr>
        <w:t>1</w:t>
      </w:r>
      <w:r>
        <w:rPr/>
        <w:t>2</w:t>
      </w:r>
    </w:p>
    <w:p>
      <w:pPr>
        <w:pStyle w:val="TOC2"/>
      </w:pPr>
      <w:r>
        <w:rPr>
          <w:rStyle w:val="IndexLink"/>
        </w:rPr>
        <w:t>Sub-Affiliates</w:t>
      </w:r>
      <w:r>
        <w:rPr>
          <w:rStyle w:val="IndexLink"/>
        </w:rPr>
        <w:tab/>
      </w:r>
      <w:r>
        <w:rPr>
          <w:rStyle w:val="IndexLink"/>
        </w:rPr>
        <w:t>1</w:t>
      </w:r>
      <w:r>
        <w:rPr/>
        <w:t>2</w:t>
      </w:r>
    </w:p>
    <w:p>
      <w:pPr>
        <w:pStyle w:val="TOC2"/>
      </w:pPr>
      <w:r>
        <w:rPr>
          <w:rStyle w:val="IndexLink"/>
        </w:rPr>
        <w:t>Elections</w:t>
      </w:r>
      <w:r>
        <w:rPr>
          <w:rStyle w:val="IndexLink"/>
        </w:rPr>
        <w:tab/>
      </w:r>
      <w:r>
        <w:rPr>
          <w:rStyle w:val="IndexLink"/>
        </w:rPr>
        <w:t>1</w:t>
      </w:r>
      <w:r>
        <w:rPr/>
        <w:t>3</w:t>
      </w:r>
    </w:p>
    <w:p>
      <w:pPr>
        <w:pStyle w:val="TOC2"/>
      </w:pPr>
      <w:r>
        <w:rPr>
          <w:rStyle w:val="IndexLink"/>
        </w:rPr>
        <w:t>Ballot Access</w:t>
      </w:r>
      <w:r>
        <w:rPr>
          <w:rStyle w:val="IndexLink"/>
        </w:rPr>
        <w:tab/>
      </w:r>
      <w:r>
        <w:rPr>
          <w:rStyle w:val="IndexLink"/>
        </w:rPr>
        <w:t>1</w:t>
      </w:r>
      <w:r>
        <w:rPr/>
        <w:t>5</w:t>
      </w:r>
    </w:p>
    <w:p>
      <w:pPr>
        <w:pStyle w:val="TOC2"/>
      </w:pPr>
      <w:r>
        <w:rPr>
          <w:rStyle w:val="IndexLink"/>
        </w:rPr>
        <w:t>Activities</w:t>
      </w:r>
      <w:r>
        <w:rPr>
          <w:rStyle w:val="IndexLink"/>
        </w:rPr>
        <w:tab/>
      </w:r>
      <w:r>
        <w:rPr>
          <w:rStyle w:val="IndexLink"/>
        </w:rPr>
        <w:t>1</w:t>
      </w:r>
      <w:r>
        <w:rPr/>
        <w:t>5</w:t>
      </w:r>
    </w:p>
    <w:p>
      <w:pPr>
        <w:pStyle w:val="TOC2"/>
      </w:pPr>
      <w:r>
        <w:rPr>
          <w:rStyle w:val="IndexLink"/>
        </w:rPr>
        <w:t>Finances &amp; Fundraising</w:t>
      </w:r>
      <w:r>
        <w:rPr>
          <w:rStyle w:val="IndexLink"/>
        </w:rPr>
        <w:tab/>
      </w:r>
      <w:r>
        <w:rPr>
          <w:rStyle w:val="IndexLink"/>
        </w:rPr>
        <w:t>1</w:t>
      </w:r>
      <w:r>
        <w:rPr/>
        <w:t>6</w:t>
      </w:r>
    </w:p>
    <w:p>
      <w:pPr>
        <w:pStyle w:val="TOC2"/>
      </w:pPr>
      <w:r>
        <w:rPr>
          <w:rStyle w:val="IndexLink"/>
        </w:rPr>
        <w:t>Media Coverage</w:t>
      </w:r>
      <w:r>
        <w:rPr>
          <w:rStyle w:val="IndexLink"/>
        </w:rPr>
        <w:tab/>
      </w:r>
      <w:r>
        <w:rPr>
          <w:rStyle w:val="IndexLink"/>
        </w:rPr>
        <w:t>1</w:t>
      </w:r>
      <w:r>
        <w:rPr/>
        <w:t>6</w:t>
      </w:r>
    </w:p>
    <w:p>
      <w:pPr>
        <w:pStyle w:val="TOC2"/>
      </w:pPr>
      <w:r>
        <w:rPr>
          <w:rStyle w:val="IndexLink"/>
        </w:rPr>
        <w:t>Information Technology</w:t>
      </w:r>
      <w:r>
        <w:rPr>
          <w:rStyle w:val="IndexLink"/>
        </w:rPr>
        <w:tab/>
      </w:r>
      <w:r>
        <w:rPr>
          <w:rStyle w:val="IndexLink"/>
        </w:rPr>
        <w:t>1</w:t>
      </w:r>
      <w:r>
        <w:rPr/>
        <w:t>6</w:t>
      </w:r>
    </w:p>
    <w:p>
      <w:pPr>
        <w:pStyle w:val="TOC2"/>
      </w:pPr>
      <w:r>
        <w:rPr>
          <w:rStyle w:val="IndexLink"/>
        </w:rPr>
        <w:t>Other</w:t>
      </w:r>
      <w:r>
        <w:rPr>
          <w:rStyle w:val="IndexLink"/>
        </w:rPr>
        <w:tab/>
      </w:r>
      <w:r>
        <w:rPr>
          <w:rStyle w:val="IndexLink"/>
        </w:rPr>
        <w:t>1</w:t>
      </w:r>
      <w:r>
        <w:rPr/>
        <w:t>6</w:t>
      </w:r>
    </w:p>
    <w:p>
      <w:pPr>
        <w:pStyle w:val="TOC1"/>
      </w:pPr>
      <w:r>
        <w:rPr>
          <w:rStyle w:val="IndexLink"/>
        </w:rPr>
        <w:t>Libertarian Party of Ohio</w:t>
      </w:r>
      <w:r>
        <w:rPr>
          <w:rStyle w:val="IndexLink"/>
        </w:rPr>
        <w:tab/>
      </w:r>
      <w:r>
        <w:rPr/>
        <w:t>17</w:t>
      </w:r>
    </w:p>
    <w:p>
      <w:pPr>
        <w:pStyle w:val="TOC2"/>
      </w:pPr>
      <w:r>
        <w:rPr>
          <w:rStyle w:val="IndexLink"/>
        </w:rPr>
        <w:t>State Organization</w:t>
      </w:r>
      <w:r>
        <w:rPr>
          <w:rStyle w:val="IndexLink"/>
        </w:rPr>
        <w:tab/>
      </w:r>
      <w:r>
        <w:rPr/>
        <w:t>17</w:t>
      </w:r>
    </w:p>
    <w:p>
      <w:pPr>
        <w:pStyle w:val="TOC2"/>
      </w:pPr>
      <w:r>
        <w:rPr>
          <w:rStyle w:val="IndexLink"/>
        </w:rPr>
        <w:t>State Level Membership</w:t>
      </w:r>
      <w:r>
        <w:rPr>
          <w:rStyle w:val="IndexLink"/>
        </w:rPr>
        <w:tab/>
      </w:r>
      <w:r>
        <w:rPr/>
        <w:t>18</w:t>
      </w:r>
    </w:p>
    <w:p>
      <w:pPr>
        <w:pStyle w:val="TOC2"/>
      </w:pPr>
      <w:r>
        <w:rPr>
          <w:rStyle w:val="IndexLink"/>
        </w:rPr>
        <w:t>Sub-Affiliates</w:t>
      </w:r>
      <w:r>
        <w:rPr>
          <w:rStyle w:val="IndexLink"/>
        </w:rPr>
        <w:tab/>
      </w:r>
      <w:r>
        <w:rPr/>
        <w:t>18</w:t>
      </w:r>
    </w:p>
    <w:p>
      <w:pPr>
        <w:pStyle w:val="TOC2"/>
      </w:pPr>
      <w:r>
        <w:rPr>
          <w:rStyle w:val="IndexLink"/>
        </w:rPr>
        <w:t>Elections</w:t>
      </w:r>
      <w:r>
        <w:rPr>
          <w:rStyle w:val="IndexLink"/>
        </w:rPr>
        <w:tab/>
      </w:r>
      <w:r>
        <w:rPr/>
        <w:t>18</w:t>
      </w:r>
    </w:p>
    <w:p>
      <w:pPr>
        <w:pStyle w:val="TOC2"/>
      </w:pPr>
      <w:r>
        <w:rPr>
          <w:rStyle w:val="IndexLink"/>
        </w:rPr>
        <w:t>Ballot Access</w:t>
      </w:r>
      <w:r>
        <w:rPr>
          <w:rStyle w:val="IndexLink"/>
        </w:rPr>
        <w:tab/>
      </w:r>
      <w:r>
        <w:rPr/>
        <w:t>18</w:t>
      </w:r>
    </w:p>
    <w:p>
      <w:pPr>
        <w:pStyle w:val="TOC2"/>
      </w:pPr>
      <w:r>
        <w:rPr>
          <w:rStyle w:val="IndexLink"/>
        </w:rPr>
        <w:t>Activities</w:t>
      </w:r>
      <w:r>
        <w:rPr>
          <w:rStyle w:val="IndexLink"/>
        </w:rPr>
        <w:tab/>
      </w:r>
      <w:r>
        <w:rPr/>
        <w:t>19</w:t>
      </w:r>
    </w:p>
    <w:p>
      <w:pPr>
        <w:pStyle w:val="TOC2"/>
      </w:pPr>
      <w:r>
        <w:rPr>
          <w:rStyle w:val="IndexLink"/>
        </w:rPr>
        <w:t>Finances &amp; Fundraising</w:t>
      </w:r>
      <w:r>
        <w:rPr>
          <w:rStyle w:val="IndexLink"/>
        </w:rPr>
        <w:tab/>
      </w:r>
      <w:r>
        <w:rPr/>
        <w:t>19</w:t>
      </w:r>
    </w:p>
    <w:p>
      <w:pPr>
        <w:pStyle w:val="TOC2"/>
      </w:pPr>
      <w:r>
        <w:rPr>
          <w:rStyle w:val="IndexLink"/>
        </w:rPr>
        <w:t>Media Coverage</w:t>
      </w:r>
      <w:r>
        <w:rPr>
          <w:rStyle w:val="IndexLink"/>
        </w:rPr>
        <w:tab/>
      </w:r>
      <w:r>
        <w:rPr/>
        <w:t>19</w:t>
      </w:r>
    </w:p>
    <w:p>
      <w:pPr>
        <w:pStyle w:val="TOC2"/>
      </w:pPr>
      <w:r>
        <w:rPr>
          <w:rStyle w:val="IndexLink"/>
        </w:rPr>
        <w:t>Information Technology</w:t>
      </w:r>
      <w:r>
        <w:rPr>
          <w:rStyle w:val="IndexLink"/>
        </w:rPr>
        <w:tab/>
      </w:r>
      <w:r>
        <w:rPr/>
        <w:t>19</w:t>
      </w:r>
    </w:p>
    <w:p>
      <w:pPr>
        <w:pStyle w:val="TOC2"/>
      </w:pPr>
      <w:r>
        <w:rPr>
          <w:rStyle w:val="IndexLink"/>
        </w:rPr>
        <w:t>Other</w:t>
      </w:r>
      <w:r>
        <w:rPr>
          <w:rStyle w:val="IndexLink"/>
        </w:rPr>
        <w:tab/>
      </w:r>
      <w:r>
        <w:rPr/>
        <w:t>19</w:t>
      </w:r>
    </w:p>
    <w:p>
      <w:pPr>
        <w:pStyle w:val="TOC2"/>
      </w:pPr>
      <w:r>
        <w:rPr>
          <w:rStyle w:val="IndexLink"/>
        </w:rPr>
        <w:t>Appendix A: Message to the LNC from Ohio Chairman Knedler</w:t>
      </w:r>
      <w:r>
        <w:rPr>
          <w:rStyle w:val="IndexLink"/>
        </w:rPr>
        <w:tab/>
      </w:r>
      <w:r>
        <w:rPr/>
        <w:t>19</w:t>
      </w:r>
    </w:p>
    <w:p>
      <w:pPr>
        <w:pStyle w:val="Normal"/>
        <w:spacing w:before="0" w:after="200"/>
      </w:pPr>
      <w:hyperlink/>
    </w:p>
    <w:p>
      <w:pPr>
        <w:pStyle w:val="Normal"/>
        <w:spacing w:before="0" w:after="200"/>
      </w:pPr>
    </w:p>
    <w:p>
      <w:pPr>
        <w:pStyle w:val="Heading1"/>
        <w:pageBreakBefore/>
      </w:pPr>
      <w:r>
        <w:rPr/>
        <w:t>Region 3 Overview</w:t>
      </w:r>
    </w:p>
    <w:p>
      <w:pPr>
        <w:pStyle w:val="Normal"/>
        <w:spacing w:after="200" w:line="100" w:lineRule="atLeast"/>
      </w:pPr>
      <w:r>
        <w:rPr/>
        <w:t xml:space="preserve">Region 3 maintained its member-affiliates at the 2016 Libertarian National Convention: Indiana, Kentucky, Michigan, and Ohio.  This Region is comprised of States with similar constituencies and similar approaches to Party growth. </w:t>
      </w:r>
    </w:p>
    <w:p>
      <w:pPr>
        <w:pStyle w:val="Normal"/>
        <w:spacing w:after="200"/>
      </w:pPr>
    </w:p>
    <w:tbl>
      <w:tblPr>
        <w:tblW w:w="0" w:type="auto"/>
        <w:tblInd w:w="-108" w:type="dxa"/>
        <w:tblStyle w:val="TableNormal"/>
        <w:tblLook w:firstRow="1" w:lastRow="1" w:firstColumn="1" w:lastColumn="1" w:noHBand="0" w:noVBand="0"/>
      </w:tblPr>
      <w:tblGrid>
        <w:gridCol w:w="6607"/>
        <w:gridCol w:w="3670"/>
      </w:tblGrid>
      <w:tr>
        <w:tc>
          <w:tcPr>
            <w:vAlign w:val="top"/>
            <w:tcW w:w="6607" w:type="dxa"/>
          </w:tcPr>
          <w:p>
            <w:pPr>
              <w:pStyle w:val="Heading2"/>
            </w:pPr>
            <w:r>
              <w:rPr/>
              <w:t>National Membership for the Region</w:t>
            </w:r>
          </w:p>
          <w:p>
            <w:pPr>
              <w:pStyle w:val="Normal"/>
              <w:spacing w:after="200"/>
            </w:pPr>
            <w:r>
              <w:rPr/>
              <w:t>Three of the four states in the region experienced growth in membership numbers between June 2015 and June 2016.</w:t>
            </w:r>
          </w:p>
          <w:p>
            <w:pPr>
              <w:pStyle w:val="Normal"/>
              <w:spacing w:after="200"/>
            </w:pPr>
          </w:p>
          <w:p>
            <w:pPr>
              <w:pStyle w:val="Heading3"/>
            </w:pPr>
            <w:r>
              <w:rPr/>
              <w:t>March 2016 National Membership Summary</w:t>
            </w:r>
          </w:p>
          <w:tbl>
            <w:tblPr>
              <w:tblW w:w="0" w:type="auto"/>
            </w:tblPr>
            <w:tblGrid>
              <w:gridCol w:w="1007"/>
              <w:gridCol w:w="1007"/>
              <w:gridCol w:w="1584"/>
              <w:gridCol w:w="1261"/>
            </w:tblGrid>
            <w:tr>
              <w:tc>
                <w:tcPr>
                  <w:tcBorders>
                    <w:top w:val="single" w:sz="4" w:color="C0C0C0" w:space="0"/>
                    <w:bottom w:val="single" w:sz="4" w:color="C0C0C0" w:space="0"/>
                  </w:tcBorders>
                  <w:vAlign w:val="center"/>
                  <w:tcW w:w="1007" w:type="dxa"/>
                </w:tcPr>
                <w:p>
                  <w:pPr>
                    <w:pStyle w:val="Normal"/>
                    <w:jc w:val="center"/>
                    <w:spacing w:before="60" w:after="0" w:line="100" w:lineRule="atLeast"/>
                  </w:pPr>
                </w:p>
              </w:tc>
              <w:tc>
                <w:tcPr>
                  <w:tcBorders>
                    <w:top w:val="single" w:sz="4" w:color="C0C0C0" w:space="0"/>
                    <w:bottom w:val="single" w:sz="4" w:color="C0C0C0" w:space="0"/>
                  </w:tcBorders>
                  <w:vAlign w:val="center"/>
                  <w:tcW w:w="1007" w:type="dxa"/>
                </w:tcPr>
                <w:p>
                  <w:pPr>
                    <w:pStyle w:val="TableText-Center"/>
                    <w:spacing w:after="0"/>
                  </w:pPr>
                  <w:r>
                    <w:rPr/>
                    <w:t>Total Members</w:t>
                  </w:r>
                </w:p>
              </w:tc>
              <w:tc>
                <w:tcPr>
                  <w:tcBorders>
                    <w:top w:val="single" w:sz="4" w:color="C0C0C0" w:space="0"/>
                    <w:bottom w:val="single" w:sz="4" w:color="C0C0C0" w:space="0"/>
                  </w:tcBorders>
                  <w:vAlign w:val="center"/>
                  <w:tcW w:w="1584" w:type="dxa"/>
                </w:tcPr>
                <w:p>
                  <w:pPr>
                    <w:pStyle w:val="TableText-Center"/>
                    <w:spacing w:after="0"/>
                  </w:pPr>
                  <w:r>
                    <w:rPr/>
                    <w:t>Total Sustaining Members</w:t>
                  </w:r>
                </w:p>
              </w:tc>
              <w:tc>
                <w:tcPr>
                  <w:tcBorders>
                    <w:top w:val="single" w:sz="4" w:color="C0C0C0" w:space="0"/>
                    <w:bottom w:val="single" w:sz="4" w:color="C0C0C0" w:space="0"/>
                  </w:tcBorders>
                  <w:vAlign w:val="center"/>
                  <w:tcW w:w="1261" w:type="dxa"/>
                </w:tcPr>
                <w:p>
                  <w:pPr>
                    <w:pStyle w:val="TableText-Center"/>
                    <w:spacing w:after="0"/>
                  </w:pPr>
                  <w:r>
                    <w:rPr/>
                    <w:t>Sustaining Membership Rank</w:t>
                  </w:r>
                </w:p>
              </w:tc>
            </w:tr>
            <w:tr>
              <w:tc>
                <w:tcPr>
                  <w:tcBorders>
                    <w:top w:val="single" w:sz="4" w:color="C0C0C0" w:space="0"/>
                    <w:bottom w:val="single" w:sz="4" w:color="C0C0C0" w:space="0"/>
                  </w:tcBorders>
                  <w:vAlign w:val="center"/>
                  <w:tcW w:w="1007" w:type="dxa"/>
                </w:tcPr>
                <w:p>
                  <w:pPr>
                    <w:pStyle w:val="TableRowHeading"/>
                    <w:spacing w:after="0"/>
                  </w:pPr>
                  <w:r>
                    <w:rPr/>
                    <w:t>Indiana</w:t>
                  </w:r>
                </w:p>
              </w:tc>
              <w:tc>
                <w:tcPr>
                  <w:tcBorders>
                    <w:top w:val="single" w:sz="4" w:color="C0C0C0" w:space="0"/>
                    <w:bottom w:val="single" w:sz="4" w:color="C0C0C0" w:space="0"/>
                  </w:tcBorders>
                  <w:vAlign w:val="center"/>
                  <w:tcW w:w="1007" w:type="dxa"/>
                </w:tcPr>
                <w:p>
                  <w:pPr>
                    <w:pStyle w:val="TableText-Center"/>
                    <w:spacing w:after="0"/>
                  </w:pPr>
                  <w:r>
                    <w:rPr/>
                    <w:t>3266</w:t>
                  </w:r>
                </w:p>
              </w:tc>
              <w:tc>
                <w:tcPr>
                  <w:tcBorders>
                    <w:top w:val="single" w:sz="4" w:color="C0C0C0" w:space="0"/>
                    <w:bottom w:val="single" w:sz="4" w:color="C0C0C0" w:space="0"/>
                  </w:tcBorders>
                  <w:vAlign w:val="top"/>
                  <w:tcW w:w="1584" w:type="dxa"/>
                </w:tcPr>
                <w:p>
                  <w:pPr>
                    <w:pStyle w:val="TableText-Center"/>
                    <w:spacing w:after="0"/>
                  </w:pPr>
                  <w:r>
                    <w:rPr/>
                    <w:t>361</w:t>
                  </w:r>
                </w:p>
              </w:tc>
              <w:tc>
                <w:tcPr>
                  <w:tcBorders>
                    <w:top w:val="single" w:sz="4" w:color="C0C0C0" w:space="0"/>
                    <w:bottom w:val="single" w:sz="4" w:color="C0C0C0" w:space="0"/>
                  </w:tcBorders>
                  <w:vAlign w:val="center"/>
                  <w:tcW w:w="1261" w:type="dxa"/>
                </w:tcPr>
                <w:p>
                  <w:pPr>
                    <w:pStyle w:val="TableText-Center"/>
                    <w:spacing w:after="0"/>
                  </w:pPr>
                  <w:r>
                    <w:rPr/>
                    <w:t>10</w:t>
                  </w:r>
                </w:p>
              </w:tc>
            </w:tr>
            <w:tr>
              <w:tc>
                <w:tcPr>
                  <w:tcBorders>
                    <w:top w:val="single" w:sz="4" w:color="C0C0C0" w:space="0"/>
                    <w:bottom w:val="single" w:sz="4" w:color="C0C0C0" w:space="0"/>
                  </w:tcBorders>
                  <w:vAlign w:val="center"/>
                  <w:tcW w:w="1007" w:type="dxa"/>
                </w:tcPr>
                <w:p>
                  <w:pPr>
                    <w:pStyle w:val="TableRowHeading"/>
                    <w:spacing w:after="0"/>
                  </w:pPr>
                  <w:r>
                    <w:rPr/>
                    <w:t>Kentucky</w:t>
                  </w:r>
                </w:p>
              </w:tc>
              <w:tc>
                <w:tcPr>
                  <w:tcBorders>
                    <w:top w:val="single" w:sz="4" w:color="C0C0C0" w:space="0"/>
                    <w:bottom w:val="single" w:sz="4" w:color="C0C0C0" w:space="0"/>
                  </w:tcBorders>
                  <w:vAlign w:val="top"/>
                  <w:tcW w:w="1007" w:type="dxa"/>
                </w:tcPr>
                <w:p>
                  <w:pPr>
                    <w:pStyle w:val="TableText-Center"/>
                    <w:spacing w:after="0"/>
                  </w:pPr>
                  <w:r>
                    <w:rPr/>
                    <w:t>1206</w:t>
                  </w:r>
                </w:p>
              </w:tc>
              <w:tc>
                <w:tcPr>
                  <w:tcBorders>
                    <w:top w:val="single" w:sz="4" w:color="C0C0C0" w:space="0"/>
                    <w:bottom w:val="single" w:sz="4" w:color="C0C0C0" w:space="0"/>
                  </w:tcBorders>
                  <w:vAlign w:val="top"/>
                  <w:tcW w:w="1584" w:type="dxa"/>
                </w:tcPr>
                <w:p>
                  <w:pPr>
                    <w:pStyle w:val="TableText-Center"/>
                    <w:spacing w:after="0"/>
                  </w:pPr>
                  <w:r>
                    <w:rPr/>
                    <w:t>110</w:t>
                  </w:r>
                </w:p>
              </w:tc>
              <w:tc>
                <w:tcPr>
                  <w:tcBorders>
                    <w:top w:val="single" w:sz="4" w:color="C0C0C0" w:space="0"/>
                    <w:bottom w:val="single" w:sz="4" w:color="C0C0C0" w:space="0"/>
                  </w:tcBorders>
                  <w:vAlign w:val="center"/>
                  <w:tcW w:w="1261" w:type="dxa"/>
                </w:tcPr>
                <w:p>
                  <w:pPr>
                    <w:pStyle w:val="TableText-Center"/>
                    <w:spacing w:after="0"/>
                  </w:pPr>
                  <w:r>
                    <w:rPr/>
                    <w:t>32</w:t>
                  </w:r>
                </w:p>
              </w:tc>
            </w:tr>
            <w:tr>
              <w:tc>
                <w:tcPr>
                  <w:tcBorders>
                    <w:top w:val="single" w:sz="4" w:color="C0C0C0" w:space="0"/>
                    <w:bottom w:val="single" w:sz="4" w:color="C0C0C0" w:space="0"/>
                  </w:tcBorders>
                  <w:vAlign w:val="center"/>
                  <w:tcW w:w="1007" w:type="dxa"/>
                </w:tcPr>
                <w:p>
                  <w:pPr>
                    <w:pStyle w:val="TableRowHeading"/>
                    <w:spacing w:after="0"/>
                  </w:pPr>
                  <w:r>
                    <w:rPr/>
                    <w:t>Michigan</w:t>
                  </w:r>
                </w:p>
              </w:tc>
              <w:tc>
                <w:tcPr>
                  <w:tcBorders>
                    <w:top w:val="single" w:sz="4" w:color="C0C0C0" w:space="0"/>
                    <w:bottom w:val="single" w:sz="4" w:color="C0C0C0" w:space="0"/>
                  </w:tcBorders>
                  <w:vAlign w:val="top"/>
                  <w:tcW w:w="1007" w:type="dxa"/>
                </w:tcPr>
                <w:p>
                  <w:pPr>
                    <w:pStyle w:val="TableText-Center"/>
                    <w:spacing w:after="0"/>
                  </w:pPr>
                  <w:r>
                    <w:rPr/>
                    <w:t>5243</w:t>
                  </w:r>
                </w:p>
              </w:tc>
              <w:tc>
                <w:tcPr>
                  <w:tcBorders>
                    <w:top w:val="single" w:sz="4" w:color="C0C0C0" w:space="0"/>
                    <w:bottom w:val="single" w:sz="4" w:color="C0C0C0" w:space="0"/>
                  </w:tcBorders>
                  <w:vAlign w:val="top"/>
                  <w:tcW w:w="1584" w:type="dxa"/>
                </w:tcPr>
                <w:p>
                  <w:pPr>
                    <w:pStyle w:val="TableText-Center"/>
                    <w:spacing w:after="0"/>
                  </w:pPr>
                  <w:r>
                    <w:rPr/>
                    <w:t>389</w:t>
                  </w:r>
                </w:p>
              </w:tc>
              <w:tc>
                <w:tcPr>
                  <w:tcBorders>
                    <w:top w:val="single" w:sz="4" w:color="C0C0C0" w:space="0"/>
                    <w:bottom w:val="single" w:sz="4" w:color="C0C0C0" w:space="0"/>
                  </w:tcBorders>
                  <w:vAlign w:val="center"/>
                  <w:tcW w:w="1261" w:type="dxa"/>
                </w:tcPr>
                <w:p>
                  <w:pPr>
                    <w:pStyle w:val="TableText-Center"/>
                    <w:spacing w:after="0"/>
                  </w:pPr>
                  <w:r>
                    <w:rPr/>
                    <w:t>9</w:t>
                  </w:r>
                </w:p>
              </w:tc>
            </w:tr>
            <w:tr>
              <w:tc>
                <w:tcPr>
                  <w:tcBorders>
                    <w:top w:val="single" w:sz="4" w:color="C0C0C0" w:space="0"/>
                  </w:tcBorders>
                  <w:vAlign w:val="center"/>
                  <w:tcW w:w="1007" w:type="dxa"/>
                </w:tcPr>
                <w:p>
                  <w:pPr>
                    <w:pStyle w:val="TableRowHeading"/>
                    <w:spacing w:after="0"/>
                  </w:pPr>
                  <w:r>
                    <w:rPr/>
                    <w:t>Ohio</w:t>
                  </w:r>
                </w:p>
              </w:tc>
              <w:tc>
                <w:tcPr>
                  <w:tcBorders>
                    <w:top w:val="single" w:sz="4" w:color="C0C0C0" w:space="0"/>
                  </w:tcBorders>
                  <w:vAlign w:val="top"/>
                  <w:tcW w:w="1007" w:type="dxa"/>
                </w:tcPr>
                <w:p>
                  <w:pPr>
                    <w:pStyle w:val="TableText-Center"/>
                    <w:spacing w:after="0"/>
                  </w:pPr>
                  <w:r>
                    <w:rPr/>
                    <w:t>5285</w:t>
                  </w:r>
                </w:p>
              </w:tc>
              <w:tc>
                <w:tcPr>
                  <w:tcBorders>
                    <w:top w:val="single" w:sz="4" w:color="C0C0C0" w:space="0"/>
                  </w:tcBorders>
                  <w:vAlign w:val="top"/>
                  <w:tcW w:w="1584" w:type="dxa"/>
                </w:tcPr>
                <w:p>
                  <w:pPr>
                    <w:pStyle w:val="TableText-Center"/>
                    <w:spacing w:after="0"/>
                  </w:pPr>
                  <w:r>
                    <w:rPr/>
                    <w:t>518</w:t>
                  </w:r>
                </w:p>
              </w:tc>
              <w:tc>
                <w:tcPr>
                  <w:tcBorders>
                    <w:top w:val="single" w:sz="4" w:color="C0C0C0" w:space="0"/>
                  </w:tcBorders>
                  <w:vAlign w:val="center"/>
                  <w:tcW w:w="1261" w:type="dxa"/>
                </w:tcPr>
                <w:p>
                  <w:pPr>
                    <w:pStyle w:val="TableText-Center"/>
                    <w:spacing w:after="0"/>
                  </w:pPr>
                  <w:r>
                    <w:rPr/>
                    <w:t>5</w:t>
                  </w:r>
                </w:p>
              </w:tc>
            </w:tr>
          </w:tbl>
          <w:p>
            <w:pPr>
              <w:pStyle w:val="Heading3"/>
            </w:pPr>
            <w:r>
              <w:rPr/>
              <w:t>March 2017 National Membership Summary</w:t>
            </w:r>
          </w:p>
          <w:tbl>
            <w:tblPr>
              <w:tblW w:w="0" w:type="auto"/>
            </w:tblPr>
            <w:tblGrid>
              <w:gridCol w:w="1007"/>
              <w:gridCol w:w="1007"/>
              <w:gridCol w:w="1584"/>
              <w:gridCol w:w="1261"/>
            </w:tblGrid>
            <w:tr>
              <w:tc>
                <w:tcPr>
                  <w:tcBorders>
                    <w:top w:val="single" w:sz="4" w:color="C0C0C0" w:space="0"/>
                    <w:bottom w:val="single" w:sz="4" w:color="C0C0C0" w:space="0"/>
                  </w:tcBorders>
                  <w:vAlign w:val="center"/>
                  <w:tcW w:w="1007" w:type="dxa"/>
                </w:tcPr>
                <w:p>
                  <w:pPr>
                    <w:pStyle w:val="Normal"/>
                    <w:jc w:val="center"/>
                    <w:spacing w:before="60" w:after="0" w:line="100" w:lineRule="atLeast"/>
                  </w:pPr>
                </w:p>
              </w:tc>
              <w:tc>
                <w:tcPr>
                  <w:tcBorders>
                    <w:top w:val="single" w:sz="4" w:color="C0C0C0" w:space="0"/>
                    <w:bottom w:val="single" w:sz="4" w:color="C0C0C0" w:space="0"/>
                  </w:tcBorders>
                  <w:vAlign w:val="center"/>
                  <w:tcW w:w="1007" w:type="dxa"/>
                </w:tcPr>
                <w:p>
                  <w:pPr>
                    <w:pStyle w:val="TableText-Center"/>
                    <w:spacing w:after="0"/>
                  </w:pPr>
                  <w:r>
                    <w:rPr/>
                    <w:t>Total Members</w:t>
                  </w:r>
                </w:p>
              </w:tc>
              <w:tc>
                <w:tcPr>
                  <w:tcBorders>
                    <w:top w:val="single" w:sz="4" w:color="C0C0C0" w:space="0"/>
                    <w:bottom w:val="single" w:sz="4" w:color="C0C0C0" w:space="0"/>
                  </w:tcBorders>
                  <w:vAlign w:val="center"/>
                  <w:tcW w:w="1584" w:type="dxa"/>
                </w:tcPr>
                <w:p>
                  <w:pPr>
                    <w:pStyle w:val="TableText-Center"/>
                    <w:spacing w:after="0"/>
                  </w:pPr>
                  <w:r>
                    <w:rPr/>
                    <w:t>Total Sustaining Members</w:t>
                  </w:r>
                </w:p>
              </w:tc>
              <w:tc>
                <w:tcPr>
                  <w:tcBorders>
                    <w:top w:val="single" w:sz="4" w:color="C0C0C0" w:space="0"/>
                    <w:bottom w:val="single" w:sz="4" w:color="C0C0C0" w:space="0"/>
                  </w:tcBorders>
                  <w:vAlign w:val="center"/>
                  <w:tcW w:w="1261" w:type="dxa"/>
                </w:tcPr>
                <w:p>
                  <w:pPr>
                    <w:pStyle w:val="TableText-Center"/>
                    <w:spacing w:after="0"/>
                  </w:pPr>
                  <w:r>
                    <w:rPr/>
                    <w:t>Sustaining Membership Rank</w:t>
                  </w:r>
                </w:p>
              </w:tc>
            </w:tr>
            <w:tr>
              <w:tc>
                <w:tcPr>
                  <w:tcBorders>
                    <w:top w:val="single" w:sz="4" w:color="C0C0C0" w:space="0"/>
                    <w:bottom w:val="single" w:sz="4" w:color="C0C0C0" w:space="0"/>
                  </w:tcBorders>
                  <w:vAlign w:val="center"/>
                  <w:tcW w:w="1007" w:type="dxa"/>
                </w:tcPr>
                <w:p>
                  <w:pPr>
                    <w:pStyle w:val="TableRowHeading"/>
                    <w:spacing w:after="0"/>
                  </w:pPr>
                  <w:r>
                    <w:rPr/>
                    <w:t>Indiana</w:t>
                  </w:r>
                </w:p>
              </w:tc>
              <w:tc>
                <w:tcPr>
                  <w:tcBorders>
                    <w:top w:val="single" w:sz="4" w:color="C0C0C0" w:space="0"/>
                    <w:bottom w:val="single" w:sz="4" w:color="C0C0C0" w:space="0"/>
                  </w:tcBorders>
                  <w:vAlign w:val="center"/>
                  <w:tcW w:w="1007" w:type="dxa"/>
                </w:tcPr>
                <w:p>
                  <w:pPr>
                    <w:pStyle w:val="TableText-Center"/>
                    <w:spacing w:after="0"/>
                  </w:pPr>
                  <w:r>
                    <w:rPr/>
                    <w:t>3562</w:t>
                  </w:r>
                </w:p>
              </w:tc>
              <w:tc>
                <w:tcPr>
                  <w:tcBorders>
                    <w:top w:val="single" w:sz="4" w:color="C0C0C0" w:space="0"/>
                    <w:bottom w:val="single" w:sz="4" w:color="C0C0C0" w:space="0"/>
                  </w:tcBorders>
                  <w:vAlign w:val="top"/>
                  <w:tcW w:w="1584" w:type="dxa"/>
                </w:tcPr>
                <w:p>
                  <w:pPr>
                    <w:pStyle w:val="TableText-Center"/>
                    <w:spacing w:after="0"/>
                  </w:pPr>
                  <w:r>
                    <w:rPr/>
                    <w:t>533</w:t>
                  </w:r>
                </w:p>
              </w:tc>
              <w:tc>
                <w:tcPr>
                  <w:tcBorders>
                    <w:top w:val="single" w:sz="4" w:color="C0C0C0" w:space="0"/>
                    <w:bottom w:val="single" w:sz="4" w:color="C0C0C0" w:space="0"/>
                  </w:tcBorders>
                  <w:vAlign w:val="center"/>
                  <w:tcW w:w="1261" w:type="dxa"/>
                </w:tcPr>
                <w:p>
                  <w:pPr>
                    <w:pStyle w:val="TableText-Center"/>
                    <w:spacing w:after="0"/>
                  </w:pPr>
                  <w:r>
                    <w:rPr/>
                    <w:t>13</w:t>
                  </w:r>
                </w:p>
              </w:tc>
            </w:tr>
            <w:tr>
              <w:tc>
                <w:tcPr>
                  <w:tcBorders>
                    <w:top w:val="single" w:sz="4" w:color="C0C0C0" w:space="0"/>
                    <w:bottom w:val="single" w:sz="4" w:color="C0C0C0" w:space="0"/>
                  </w:tcBorders>
                  <w:vAlign w:val="center"/>
                  <w:tcW w:w="1007" w:type="dxa"/>
                </w:tcPr>
                <w:p>
                  <w:pPr>
                    <w:pStyle w:val="TableRowHeading"/>
                    <w:spacing w:after="0"/>
                  </w:pPr>
                  <w:r>
                    <w:rPr/>
                    <w:t>Kentucky</w:t>
                  </w:r>
                </w:p>
              </w:tc>
              <w:tc>
                <w:tcPr>
                  <w:tcBorders>
                    <w:top w:val="single" w:sz="4" w:color="C0C0C0" w:space="0"/>
                    <w:bottom w:val="single" w:sz="4" w:color="C0C0C0" w:space="0"/>
                  </w:tcBorders>
                  <w:vAlign w:val="top"/>
                  <w:tcW w:w="1007" w:type="dxa"/>
                </w:tcPr>
                <w:p>
                  <w:pPr>
                    <w:pStyle w:val="TableText-Center"/>
                    <w:spacing w:after="0"/>
                  </w:pPr>
                  <w:r>
                    <w:rPr/>
                    <w:t>1337</w:t>
                  </w:r>
                </w:p>
              </w:tc>
              <w:tc>
                <w:tcPr>
                  <w:tcBorders>
                    <w:top w:val="single" w:sz="4" w:color="C0C0C0" w:space="0"/>
                    <w:bottom w:val="single" w:sz="4" w:color="C0C0C0" w:space="0"/>
                  </w:tcBorders>
                  <w:vAlign w:val="top"/>
                  <w:tcW w:w="1584" w:type="dxa"/>
                </w:tcPr>
                <w:p>
                  <w:pPr>
                    <w:pStyle w:val="TableText-Center"/>
                    <w:spacing w:after="0"/>
                  </w:pPr>
                  <w:r>
                    <w:rPr/>
                    <w:t>179</w:t>
                  </w:r>
                </w:p>
              </w:tc>
              <w:tc>
                <w:tcPr>
                  <w:tcBorders>
                    <w:top w:val="single" w:sz="4" w:color="C0C0C0" w:space="0"/>
                    <w:bottom w:val="single" w:sz="4" w:color="C0C0C0" w:space="0"/>
                  </w:tcBorders>
                  <w:vAlign w:val="center"/>
                  <w:tcW w:w="1261" w:type="dxa"/>
                </w:tcPr>
                <w:p>
                  <w:pPr>
                    <w:pStyle w:val="TableText-Center"/>
                    <w:spacing w:after="0"/>
                  </w:pPr>
                  <w:r>
                    <w:rPr/>
                    <w:t>32</w:t>
                  </w:r>
                </w:p>
              </w:tc>
            </w:tr>
            <w:tr>
              <w:tc>
                <w:tcPr>
                  <w:tcBorders>
                    <w:top w:val="single" w:sz="4" w:color="C0C0C0" w:space="0"/>
                    <w:bottom w:val="single" w:sz="4" w:color="C0C0C0" w:space="0"/>
                  </w:tcBorders>
                  <w:vAlign w:val="center"/>
                  <w:tcW w:w="1007" w:type="dxa"/>
                </w:tcPr>
                <w:p>
                  <w:pPr>
                    <w:pStyle w:val="TableRowHeading"/>
                    <w:spacing w:after="0"/>
                  </w:pPr>
                  <w:r>
                    <w:rPr/>
                    <w:t>Michigan</w:t>
                  </w:r>
                </w:p>
              </w:tc>
              <w:tc>
                <w:tcPr>
                  <w:tcBorders>
                    <w:top w:val="single" w:sz="4" w:color="C0C0C0" w:space="0"/>
                    <w:bottom w:val="single" w:sz="4" w:color="C0C0C0" w:space="0"/>
                  </w:tcBorders>
                  <w:vAlign w:val="top"/>
                  <w:tcW w:w="1007" w:type="dxa"/>
                </w:tcPr>
                <w:p>
                  <w:pPr>
                    <w:pStyle w:val="TableText-Center"/>
                    <w:spacing w:after="0"/>
                  </w:pPr>
                  <w:r>
                    <w:rPr/>
                    <w:t>5576</w:t>
                  </w:r>
                </w:p>
              </w:tc>
              <w:tc>
                <w:tcPr>
                  <w:tcBorders>
                    <w:top w:val="single" w:sz="4" w:color="C0C0C0" w:space="0"/>
                    <w:bottom w:val="single" w:sz="4" w:color="C0C0C0" w:space="0"/>
                  </w:tcBorders>
                  <w:vAlign w:val="top"/>
                  <w:tcW w:w="1584" w:type="dxa"/>
                </w:tcPr>
                <w:p>
                  <w:pPr>
                    <w:pStyle w:val="TableText-Center"/>
                    <w:spacing w:after="0"/>
                  </w:pPr>
                  <w:r>
                    <w:rPr/>
                    <w:t>618</w:t>
                  </w:r>
                </w:p>
              </w:tc>
              <w:tc>
                <w:tcPr>
                  <w:tcBorders>
                    <w:top w:val="single" w:sz="4" w:color="C0C0C0" w:space="0"/>
                    <w:bottom w:val="single" w:sz="4" w:color="C0C0C0" w:space="0"/>
                  </w:tcBorders>
                  <w:vAlign w:val="center"/>
                  <w:tcW w:w="1261" w:type="dxa"/>
                </w:tcPr>
                <w:p>
                  <w:pPr>
                    <w:pStyle w:val="TableText-Center"/>
                    <w:spacing w:after="0"/>
                  </w:pPr>
                  <w:r>
                    <w:rPr/>
                    <w:t>9</w:t>
                  </w:r>
                </w:p>
              </w:tc>
            </w:tr>
            <w:tr>
              <w:tc>
                <w:tcPr>
                  <w:tcBorders>
                    <w:top w:val="single" w:sz="4" w:color="C0C0C0" w:space="0"/>
                    <w:bottom w:val="single" w:sz="4" w:color="C0C0C0" w:space="0"/>
                  </w:tcBorders>
                  <w:vAlign w:val="center"/>
                  <w:tcW w:w="1007" w:type="dxa"/>
                </w:tcPr>
                <w:p>
                  <w:pPr>
                    <w:pStyle w:val="TableRowHeading"/>
                    <w:spacing w:after="0"/>
                  </w:pPr>
                  <w:r>
                    <w:rPr/>
                    <w:t>Ohio</w:t>
                  </w:r>
                </w:p>
              </w:tc>
              <w:tc>
                <w:tcPr>
                  <w:tcBorders>
                    <w:top w:val="single" w:sz="4" w:color="C0C0C0" w:space="0"/>
                    <w:bottom w:val="single" w:sz="4" w:color="C0C0C0" w:space="0"/>
                  </w:tcBorders>
                  <w:vAlign w:val="top"/>
                  <w:tcW w:w="1007" w:type="dxa"/>
                </w:tcPr>
                <w:p>
                  <w:pPr>
                    <w:pStyle w:val="TableText-Center"/>
                    <w:spacing w:after="0"/>
                  </w:pPr>
                  <w:r>
                    <w:rPr/>
                    <w:t>5749</w:t>
                  </w:r>
                </w:p>
              </w:tc>
              <w:tc>
                <w:tcPr>
                  <w:tcBorders>
                    <w:top w:val="single" w:sz="4" w:color="C0C0C0" w:space="0"/>
                    <w:bottom w:val="single" w:sz="4" w:color="C0C0C0" w:space="0"/>
                  </w:tcBorders>
                  <w:vAlign w:val="top"/>
                  <w:tcW w:w="1584" w:type="dxa"/>
                </w:tcPr>
                <w:p>
                  <w:pPr>
                    <w:pStyle w:val="TableText-Center"/>
                    <w:spacing w:after="0"/>
                  </w:pPr>
                  <w:r>
                    <w:rPr/>
                    <w:t>782</w:t>
                  </w:r>
                </w:p>
              </w:tc>
              <w:tc>
                <w:tcPr>
                  <w:tcBorders>
                    <w:top w:val="single" w:sz="4" w:color="C0C0C0" w:space="0"/>
                    <w:bottom w:val="single" w:sz="4" w:color="C0C0C0" w:space="0"/>
                  </w:tcBorders>
                  <w:vAlign w:val="center"/>
                  <w:tcW w:w="1261" w:type="dxa"/>
                </w:tcPr>
                <w:p>
                  <w:pPr>
                    <w:pStyle w:val="TableText-Center"/>
                    <w:spacing w:after="0"/>
                  </w:pPr>
                  <w:r>
                    <w:rPr/>
                    <w:t>6</w:t>
                  </w:r>
                </w:p>
              </w:tc>
            </w:tr>
            <w:tr>
              <w:tc>
                <w:tcPr>
                  <w:tcBorders>
                    <w:top w:val="single" w:sz="4" w:color="C0C0C0" w:space="0"/>
                  </w:tcBorders>
                  <w:vAlign w:val="center"/>
                  <w:tcW w:w="1007" w:type="dxa"/>
                </w:tcPr>
                <w:p>
                  <w:pPr>
                    <w:pStyle w:val="TableRowHeading"/>
                    <w:spacing w:after="0"/>
                  </w:pPr>
                </w:p>
              </w:tc>
              <w:tc>
                <w:tcPr>
                  <w:tcBorders>
                    <w:top w:val="single" w:sz="4" w:color="C0C0C0" w:space="0"/>
                  </w:tcBorders>
                  <w:vAlign w:val="top"/>
                  <w:tcW w:w="1007" w:type="dxa"/>
                </w:tcPr>
                <w:p>
                  <w:pPr>
                    <w:pStyle w:val="TableText-Center"/>
                    <w:spacing w:after="0"/>
                    <w:rPr>
                      <w:shd w:fill="FFFF00"/>
                    </w:rPr>
                  </w:pPr>
                </w:p>
              </w:tc>
              <w:tc>
                <w:tcPr>
                  <w:tcBorders>
                    <w:top w:val="single" w:sz="4" w:color="C0C0C0" w:space="0"/>
                  </w:tcBorders>
                  <w:vAlign w:val="top"/>
                  <w:tcW w:w="1584" w:type="dxa"/>
                </w:tcPr>
                <w:p>
                  <w:pPr>
                    <w:pStyle w:val="TableText-Center"/>
                    <w:spacing w:after="0"/>
                    <w:rPr>
                      <w:shd w:fill="FFFF00"/>
                    </w:rPr>
                  </w:pPr>
                </w:p>
              </w:tc>
              <w:tc>
                <w:tcPr>
                  <w:tcBorders>
                    <w:top w:val="single" w:sz="4" w:color="C0C0C0" w:space="0"/>
                  </w:tcBorders>
                  <w:vAlign w:val="center"/>
                  <w:tcW w:w="1261" w:type="dxa"/>
                </w:tcPr>
                <w:p>
                  <w:pPr>
                    <w:pStyle w:val="TableText-Center"/>
                    <w:spacing w:after="0"/>
                    <w:rPr>
                      <w:shd w:fill="FFFF00"/>
                    </w:rPr>
                  </w:pPr>
                </w:p>
              </w:tc>
            </w:tr>
          </w:tbl>
          <w:p>
            <w:pPr>
              <w:pStyle w:val="TableText-Center"/>
            </w:pPr>
          </w:p>
        </w:tc>
        <w:tc>
          <w:tcPr>
            <w:vAlign w:val="top"/>
            <w:tcW w:w="3670" w:type="dxa"/>
          </w:tcPr>
          <w:tbl>
            <w:tblPr>
              <w:tblW w:w="0" w:type="auto"/>
            </w:tblPr>
            <w:tblGrid>
              <w:gridCol w:w="3555"/>
            </w:tblGrid>
            <w:tr>
              <w:trPr>
                <w:trHeight w:val="691" w:hRule="atLeast"/>
              </w:trPr>
              <w:tc>
                <w:tcPr>
                  <w:shd w:fill="BFBFBF"/>
                  <w:vAlign w:val="center"/>
                  <w:tcW w:w="3555" w:type="dxa"/>
                </w:tcPr>
                <w:p>
                  <w:pPr>
                    <w:pStyle w:val="Heading4"/>
                    <w:spacing w:after="0"/>
                  </w:pPr>
                  <w:r>
                    <w:rPr/>
                    <w:t>Year over year national Sustaining membership trends</w:t>
                  </w:r>
                </w:p>
              </w:tc>
            </w:tr>
            <w:tr>
              <w:tc>
                <w:tcPr>
                  <w:vAlign w:val="top"/>
                  <w:tcW w:w="3555" w:type="dxa"/>
                </w:tcPr>
                <w:p>
                  <w:pPr>
                    <w:pStyle w:val="ListBullet"/>
                  </w:pPr>
                  <w:r>
                    <w:rPr/>
                    <w:t>indiana membership up 47.6%</w:t>
                  </w:r>
                </w:p>
                <w:p>
                  <w:pPr>
                    <w:pStyle w:val="ListBullet"/>
                  </w:pPr>
                  <w:r>
                    <w:rPr/>
                    <w:t>kentucky membership up 62.7%</w:t>
                  </w:r>
                </w:p>
                <w:p>
                  <w:pPr>
                    <w:pStyle w:val="ListBulletNegative"/>
                  </w:pPr>
                  <w:r>
                    <w:rPr/>
                    <w:t>michigan membership UP 58.8%</w:t>
                  </w:r>
                </w:p>
                <w:p>
                  <w:pPr>
                    <w:pStyle w:val="ListBullet"/>
                    <w:rPr>
                      <w:color w:val="00000A"/>
                    </w:rPr>
                  </w:pPr>
                  <w:r>
                    <w:rPr/>
                    <w:t>ohio membership up 60.0%</w:t>
                  </w:r>
                </w:p>
                <w:p>
                  <w:pPr>
                    <w:pStyle w:val="SidebarText"/>
                    <w:rPr>
                      <w:color w:val="00000A"/>
                      <w:sz w:val="20"/>
                      <w:szCs w:val="20"/>
                    </w:rPr>
                  </w:pPr>
                </w:p>
              </w:tc>
            </w:tr>
          </w:tbl>
          <w:p>
            <w:pPr>
              <w:pStyle w:val="SidebarText"/>
            </w:pPr>
          </w:p>
        </w:tc>
      </w:tr>
    </w:tbl>
    <w:p>
      <w:pPr>
        <w:pStyle w:val="Normal"/>
        <w:spacing w:after="200"/>
      </w:pPr>
    </w:p>
    <w:p>
      <w:pPr>
        <w:pStyle w:val="Normal"/>
      </w:pPr>
    </w:p>
    <w:p>
      <w:pPr>
        <w:pStyle w:val="Normal"/>
        <w:spacing w:before="0" w:after="200"/>
      </w:pPr>
    </w:p>
    <w:p>
      <w:pPr>
        <w:pStyle w:val="Heading1"/>
        <w:pageBreakBefore/>
      </w:pPr>
      <w:r>
        <w:rPr/>
        <w:t>Libertarian Party of Indiana</w:t>
      </w:r>
    </w:p>
    <w:p>
      <w:pPr>
        <w:pStyle w:val="Heading2"/>
      </w:pPr>
      <w:r>
        <w:rPr/>
        <w:t>State Organization</w:t>
      </w:r>
    </w:p>
    <w:p>
      <w:pPr>
        <w:pStyle w:val="Heading3"/>
      </w:pPr>
      <w:r>
        <w:rPr/>
        <w:t>Party Leadership Structure</w:t>
      </w:r>
    </w:p>
    <w:p>
      <w:pPr>
        <w:pStyle w:val="Heading4"/>
      </w:pPr>
      <w:r>
        <w:rPr/>
        <w:t>Elected Positions - Subject to change at the upcoming state convention</w:t>
      </w:r>
    </w:p>
    <w:p>
      <w:pPr>
        <w:pStyle w:val="Normal"/>
        <w:rPr>
          <w:b/>
        </w:rPr>
      </w:pPr>
      <w:r>
        <w:rPr>
          <w:b/>
        </w:rPr>
        <w:t>State Chair</w:t>
      </w:r>
      <w:r>
        <w:rPr/>
        <w:t>: Joe Hauptmann (</w:t>
      </w:r>
      <w:hyperlink r:id="rId12">
        <w:r>
          <w:rPr>
            <w:rStyle w:val="Hyperlink"/>
          </w:rPr>
          <w:t>chair@lpin.org</w:t>
        </w:r>
      </w:hyperlink>
      <w:r>
        <w:rPr/>
        <w:t>)</w:t>
      </w:r>
      <w:r>
        <w:rPr/>
        <w:br/>
      </w:r>
      <w:r>
        <w:rPr>
          <w:b/>
        </w:rPr>
        <w:t>Vice Chair</w:t>
      </w:r>
      <w:r>
        <w:rPr/>
        <w:t>: Rodney Benker (</w:t>
      </w:r>
      <w:hyperlink r:id="rId13">
        <w:r>
          <w:rPr>
            <w:rStyle w:val="Hyperlink"/>
          </w:rPr>
          <w:t>vicechair@lpin.org</w:t>
        </w:r>
      </w:hyperlink>
      <w:r>
        <w:rPr/>
        <w:t>)</w:t>
      </w:r>
      <w:r>
        <w:rPr/>
        <w:br/>
      </w:r>
      <w:r>
        <w:rPr>
          <w:b/>
        </w:rPr>
        <w:t>Treasurer</w:t>
      </w:r>
      <w:r>
        <w:rPr/>
        <w:t>: Michael Schultheiss (</w:t>
      </w:r>
      <w:hyperlink r:id="rId14">
        <w:r>
          <w:rPr>
            <w:rStyle w:val="Hyperlink"/>
          </w:rPr>
          <w:t>treasurer@lpin.org</w:t>
        </w:r>
      </w:hyperlink>
      <w:r>
        <w:rPr/>
        <w:t>)</w:t>
      </w:r>
      <w:r>
        <w:rPr/>
        <w:br/>
      </w:r>
      <w:r>
        <w:rPr>
          <w:b/>
        </w:rPr>
        <w:t>Secretary</w:t>
      </w:r>
      <w:r>
        <w:rPr/>
        <w:t>: Frank Rossa (</w:t>
      </w:r>
      <w:hyperlink r:id="rId15">
        <w:r>
          <w:rPr>
            <w:rStyle w:val="Hyperlink"/>
          </w:rPr>
          <w:t>secretary@lpin.org</w:t>
        </w:r>
      </w:hyperlink>
      <w:r>
        <w:rPr/>
        <w:t>)</w:t>
      </w:r>
    </w:p>
    <w:p>
      <w:pPr>
        <w:pStyle w:val="Normal"/>
      </w:pPr>
      <w:r>
        <w:rPr>
          <w:b/>
        </w:rPr>
        <w:t>District 1 Rep</w:t>
      </w:r>
      <w:r>
        <w:rPr/>
        <w:t>: Kevin Van Linden</w:t>
      </w:r>
      <w:r>
        <w:rPr/>
        <w:br/>
      </w:r>
      <w:r>
        <w:rPr>
          <w:b/>
        </w:rPr>
        <w:t>District 2 Rep</w:t>
      </w:r>
      <w:r>
        <w:rPr/>
        <w:t>: Nick Hamill</w:t>
      </w:r>
      <w:r>
        <w:rPr/>
        <w:br/>
      </w:r>
      <w:r>
        <w:rPr>
          <w:b/>
        </w:rPr>
        <w:t>District 3 Rep</w:t>
      </w:r>
      <w:r>
        <w:rPr/>
        <w:t>: Kristi Avery</w:t>
      </w:r>
      <w:r>
        <w:rPr/>
        <w:br/>
      </w:r>
      <w:r>
        <w:rPr>
          <w:b/>
        </w:rPr>
        <w:t>District 4 Rep</w:t>
      </w:r>
      <w:r>
        <w:rPr/>
        <w:t>: Randy Young</w:t>
      </w:r>
      <w:r>
        <w:rPr/>
        <w:br/>
      </w:r>
      <w:r>
        <w:rPr>
          <w:b/>
        </w:rPr>
        <w:t>District 5 Rep</w:t>
      </w:r>
      <w:r>
        <w:rPr/>
        <w:t>: Greg Noland</w:t>
      </w:r>
      <w:r>
        <w:rPr/>
        <w:br/>
      </w:r>
      <w:r>
        <w:rPr>
          <w:b/>
        </w:rPr>
        <w:t>District 6 Rep</w:t>
      </w:r>
      <w:r>
        <w:rPr/>
        <w:t>: Jesse Riddle</w:t>
      </w:r>
      <w:r>
        <w:rPr/>
        <w:br/>
      </w:r>
      <w:r>
        <w:rPr>
          <w:b/>
        </w:rPr>
        <w:t>District 7 Rep</w:t>
      </w:r>
      <w:r>
        <w:rPr/>
        <w:t>: Chris Spangle</w:t>
      </w:r>
      <w:r>
        <w:rPr/>
        <w:br/>
      </w:r>
      <w:r>
        <w:rPr>
          <w:b/>
        </w:rPr>
        <w:t>District 8 Rep</w:t>
      </w:r>
      <w:r>
        <w:rPr/>
        <w:t>: Lindsay Horn</w:t>
      </w:r>
      <w:r>
        <w:rPr/>
        <w:br/>
      </w:r>
      <w:r>
        <w:rPr>
          <w:b/>
        </w:rPr>
        <w:t>District 9 Rep</w:t>
      </w:r>
      <w:r>
        <w:rPr/>
        <w:t>: Greg Hertzsch</w:t>
      </w:r>
    </w:p>
    <w:p>
      <w:pPr>
        <w:pStyle w:val="Heading4"/>
      </w:pPr>
      <w:r>
        <w:rPr/>
        <w:t>Appointed Positions</w:t>
      </w:r>
    </w:p>
    <w:p>
      <w:pPr>
        <w:pStyle w:val="Normal"/>
      </w:pPr>
      <w:r>
        <w:rPr>
          <w:b/>
        </w:rPr>
        <w:t>Business Manager</w:t>
      </w:r>
      <w:r>
        <w:rPr/>
        <w:t>: Alyssa Salgado (</w:t>
      </w:r>
      <w:hyperlink r:id="rId16">
        <w:r>
          <w:rPr>
            <w:rStyle w:val="Hyperlink"/>
          </w:rPr>
          <w:t>asalgado@lpin.org</w:t>
        </w:r>
      </w:hyperlink>
      <w:r>
        <w:rPr/>
        <w:t>)</w:t>
      </w:r>
      <w:r>
        <w:rPr/>
        <w:br/>
      </w:r>
      <w:r>
        <w:rPr>
          <w:b/>
        </w:rPr>
        <w:t>Communications Director</w:t>
      </w:r>
      <w:r>
        <w:rPr/>
        <w:t>: Margaret Fette (</w:t>
      </w:r>
      <w:hyperlink r:id="rId17">
        <w:r>
          <w:rPr>
            <w:rStyle w:val="Hyperlink"/>
          </w:rPr>
          <w:t>outreach@lpin.org</w:t>
        </w:r>
      </w:hyperlink>
      <w:r>
        <w:rPr/>
        <w:t>)</w:t>
      </w:r>
    </w:p>
    <w:p>
      <w:pPr>
        <w:pStyle w:val="Heading3"/>
      </w:pPr>
      <w:r>
        <w:rPr/>
        <w:t>Office Space</w:t>
      </w:r>
    </w:p>
    <w:p>
      <w:pPr>
        <w:pStyle w:val="Normal"/>
      </w:pPr>
      <w:r>
        <w:rPr/>
        <w:t>LPIN has office space in Indianapolis at 1111 E. 54</w:t>
      </w:r>
      <w:r>
        <w:rPr>
          <w:vertAlign w:val="superscript"/>
        </w:rPr>
        <w:t>th</w:t>
      </w:r>
      <w:r>
        <w:rPr/>
        <w:t xml:space="preserve"> St., Suite 158, Indianapolis, IN 46220.  </w:t>
      </w:r>
    </w:p>
    <w:p>
      <w:pPr>
        <w:pStyle w:val="Heading3"/>
      </w:pPr>
      <w:r>
        <w:rPr/>
        <w:t>Paid Staff/Contractors</w:t>
      </w:r>
    </w:p>
    <w:p>
      <w:pPr>
        <w:pStyle w:val="Normal"/>
        <w:spacing w:after="200"/>
      </w:pPr>
      <w:r>
        <w:rPr/>
        <w:t>The Libertarian Party of Indiana is an all volunteer organization at this time.</w:t>
      </w:r>
    </w:p>
    <w:p>
      <w:pPr>
        <w:pStyle w:val="Heading2"/>
      </w:pPr>
      <w:r>
        <w:rPr/>
        <w:t>State Level Membership</w:t>
      </w:r>
    </w:p>
    <w:p>
      <w:pPr>
        <w:pStyle w:val="Normal"/>
        <w:spacing w:after="200"/>
      </w:pPr>
      <w:r>
        <w:rPr/>
        <w:t>LPIN has 533 national and state members.  Its state level membership is defined by those who contribute $25 annually to the National LP.</w:t>
      </w:r>
    </w:p>
    <w:p>
      <w:pPr>
        <w:pStyle w:val="Heading2"/>
      </w:pPr>
      <w:r>
        <w:rPr/>
        <w:t>Sub-Affiliates</w:t>
      </w:r>
    </w:p>
    <w:p>
      <w:pPr>
        <w:pStyle w:val="Normal"/>
        <w:spacing w:after="200"/>
      </w:pPr>
      <w:r>
        <w:rPr/>
        <w:t>LPIN organizes its sub-affiliates by county.  It currently has 24 active, affiliated county parties, and 18 inactive, affiliated county parties, and 46 unaffiliated counties.</w:t>
      </w:r>
    </w:p>
    <w:p>
      <w:pPr>
        <w:pStyle w:val="Heading2"/>
      </w:pPr>
      <w:r>
        <w:rPr/>
        <w:t>Elections</w:t>
      </w:r>
    </w:p>
    <w:p>
      <w:pPr>
        <w:pStyle w:val="Heading3"/>
      </w:pPr>
      <w:r>
        <w:rPr/>
        <w:t>Current Election Cycle (2016)</w:t>
      </w:r>
    </w:p>
    <w:p>
      <w:pPr>
        <w:pStyle w:val="Heading4"/>
      </w:pPr>
      <w:r>
        <w:rPr/>
        <w:t>2016 General election</w:t>
      </w:r>
    </w:p>
    <w:p>
      <w:pPr>
        <w:pStyle w:val="Normal"/>
        <w:spacing w:after="200"/>
      </w:pPr>
      <w:r>
        <w:rPr/>
        <w:t>In total, 45 Libertarians appeared on the ballot in Indiana in partisan races. Hagerstown Judge Susan Bell won re-election to her fifth term. Currently, 8 Libertarians are elected to public office in Indiana.</w:t>
      </w:r>
    </w:p>
    <w:p>
      <w:pPr>
        <w:pStyle w:val="Normal"/>
        <w:spacing w:after="200"/>
      </w:pPr>
      <w:r>
        <w:rPr/>
        <w:t xml:space="preserve">On the Federal side, the 2016 ticket was led by Governor Gary Johnson and Governor Bill Weld for President and Vice President, respectively. Lucy Brenton represented the party in the race for United States Senate. Nine candidates represented the party for U.S. Congress in all Congressional Districts. </w:t>
      </w:r>
    </w:p>
    <w:p>
      <w:pPr>
        <w:pStyle w:val="Normal"/>
        <w:spacing w:after="200"/>
      </w:pPr>
      <w:r>
        <w:rPr/>
        <w:t xml:space="preserve">On the state level, the ticket was led by longtime LP activist and contractor Rex Bell for Governor and 2014 Secretary of State Candidate Karl Tatgenhorst served as his running mate for Lt. Governor. The LPIN was represented by 21 candidates for State Senate and House, per their candidate listing on LPIN.org. </w:t>
      </w:r>
    </w:p>
    <w:p>
      <w:pPr>
        <w:pStyle w:val="Normal"/>
        <w:spacing w:after="200"/>
      </w:pPr>
      <w:r>
        <w:rPr/>
        <w:t xml:space="preserve">You can view the complete list of candidates at </w:t>
      </w:r>
      <w:hyperlink r:id="rId18">
        <w:r>
          <w:rPr>
            <w:rStyle w:val="Hyperlink"/>
          </w:rPr>
          <w:t>http://lpin.org/2016-candidates/</w:t>
        </w:r>
      </w:hyperlink>
      <w:r>
        <w:rPr/>
        <w:t>.</w:t>
      </w:r>
    </w:p>
    <w:p>
      <w:pPr>
        <w:pStyle w:val="Heading4"/>
      </w:pPr>
      <w:r>
        <w:rPr/>
        <w:t>2016 Indiana Debate Commission TO Include Libertarians in Televised Debates</w:t>
      </w:r>
    </w:p>
    <w:p>
      <w:pPr>
        <w:pStyle w:val="Normal"/>
      </w:pPr>
      <w:r>
        <w:rPr/>
        <w:t>Indiana’s three gubernatorial candidates appeared in three televised debates this fall through the Indiana Debate Commission. The IDC is made up of most of the major Indiana media outlets insuring consistent coverage of the three televised debates. US Senate candidate Lucy Brenton also participated in one televised debate this fall (which LNC Rep Brett Bittner attended) at WFYI-TV.</w:t>
      </w:r>
    </w:p>
    <w:p>
      <w:pPr>
        <w:pStyle w:val="Heading4"/>
      </w:pPr>
      <w:r>
        <w:rPr/>
        <w:t xml:space="preserve">2016 Raw Election Numbers </w:t>
      </w:r>
    </w:p>
    <w:p>
      <w:pPr>
        <w:pStyle w:val="Normal"/>
        <w:rPr>
          <w:b/>
        </w:rPr>
      </w:pPr>
      <w:r>
        <w:rPr>
          <w:i/>
        </w:rPr>
        <w:t>(Numbers based on reporting the Secretary of State, updated December 2, 2016.)</w:t>
      </w:r>
    </w:p>
    <w:p>
      <w:pPr>
        <w:pStyle w:val="Normal"/>
        <w:rPr>
          <w:b/>
        </w:rPr>
      </w:pPr>
      <w:r>
        <w:rPr>
          <w:b/>
        </w:rPr>
        <w:t>US President</w:t>
      </w:r>
      <w:r>
        <w:rPr/>
        <w:t>: The Johnson/Weld ticket garnered 133,993 votes. This is a 167% increase over Johnson/Gray in 2012 and 358% over Barr/Root in 2008 and a 642% increase over Badnarik/Campagna in 2004. Their percentage was at 4.9%, compared to  1.9% in 2012, Barr/Root at 1.1% in 2008, and  Badnarik/Campagna at 0.7% in 2004.</w:t>
      </w:r>
    </w:p>
    <w:p>
      <w:pPr>
        <w:pStyle w:val="Normal"/>
        <w:rPr>
          <w:b/>
        </w:rPr>
      </w:pPr>
      <w:r>
        <w:rPr>
          <w:b/>
        </w:rPr>
        <w:t>US Senate</w:t>
      </w:r>
      <w:r>
        <w:rPr/>
        <w:t>: Lucy Brenton received  149,481 vote, just besting Andrew Horning by 2.9% who received 145,282 votes in 2012, Rebecca Sink-Burris by 58.5%.</w:t>
      </w:r>
    </w:p>
    <w:p>
      <w:pPr>
        <w:pStyle w:val="Normal"/>
        <w:rPr>
          <w:b/>
        </w:rPr>
      </w:pPr>
      <w:r>
        <w:rPr>
          <w:b/>
        </w:rPr>
        <w:t>US House Races</w:t>
      </w:r>
      <w:r>
        <w:rPr/>
        <w:t>: The LPIN’s nine candidates combined for 165,160 votes  Statewide, LP candidates achieved 6.2% of the total US House vote.</w:t>
      </w:r>
    </w:p>
    <w:p>
      <w:pPr>
        <w:pStyle w:val="Normal"/>
      </w:pPr>
      <w:r>
        <w:rPr>
          <w:b/>
        </w:rPr>
        <w:t>IN Governor</w:t>
      </w:r>
      <w:r>
        <w:rPr/>
        <w:t>: Rex Bell, who suffered a stroke about a week before Election Day, earned 3.2% of the vote with 87,025 votes, falling short of Rupert Boneham's 101,868 in 2012. This still bests 2008's efforts by 52%.</w:t>
      </w:r>
    </w:p>
    <w:p>
      <w:pPr>
        <w:pStyle w:val="Normal"/>
        <w:rPr>
          <w:b/>
        </w:rPr>
      </w:pPr>
      <w:r>
        <w:rPr/>
        <w:t>Results over the last Decade for Libertarians:</w:t>
      </w:r>
    </w:p>
    <w:p>
      <w:pPr>
        <w:pStyle w:val="Normal"/>
      </w:pPr>
      <w:r>
        <w:rPr>
          <w:b/>
        </w:rPr>
        <w:t>US Senate</w:t>
      </w:r>
      <w:r>
        <w:rPr/>
        <w:t>:</w:t>
      </w:r>
    </w:p>
    <w:p>
      <w:pPr>
        <w:pStyle w:val="Normal"/>
        <w:rPr>
          <w:b/>
        </w:rPr>
      </w:pPr>
      <w:r>
        <w:rPr/>
        <w:t>Osborn 2006: 168,820; 12.6% (2-way)</w:t>
      </w:r>
      <w:r>
        <w:rPr/>
        <w:br/>
      </w:r>
      <w:r>
        <w:rPr/>
        <w:t>Sink-Burris 2010: 94,562; 5.4%</w:t>
      </w:r>
      <w:r>
        <w:rPr/>
        <w:br/>
      </w:r>
      <w:r>
        <w:rPr/>
        <w:t>Horning 2012: 144,806; 5.8%</w:t>
      </w:r>
      <w:r>
        <w:rPr>
          <w:b/>
        </w:rPr>
        <w:br/>
      </w:r>
      <w:r>
        <w:rPr/>
        <w:t>Brenton 2016: 149,481; 5.5%</w:t>
      </w:r>
    </w:p>
    <w:p>
      <w:pPr>
        <w:pStyle w:val="Normal"/>
      </w:pPr>
      <w:r>
        <w:rPr>
          <w:b/>
        </w:rPr>
        <w:t>Combined US House</w:t>
      </w:r>
      <w:r>
        <w:rPr/>
        <w:t xml:space="preserve"> (percentages include all 9 races in each year):</w:t>
      </w:r>
    </w:p>
    <w:p>
      <w:pPr>
        <w:pStyle w:val="Normal"/>
        <w:rPr>
          <w:b/>
        </w:rPr>
      </w:pPr>
      <w:r>
        <w:rPr/>
        <w:t>2006: 17,324; 1.0% (2 candidates)</w:t>
      </w:r>
      <w:r>
        <w:rPr/>
        <w:br/>
      </w:r>
      <w:r>
        <w:rPr/>
        <w:t>2008: 47,306; 1.8% (5 candidates)</w:t>
      </w:r>
      <w:r>
        <w:rPr/>
        <w:br/>
      </w:r>
      <w:r>
        <w:rPr/>
        <w:t>2010: 84,518; 4.8% (9 candidates)</w:t>
      </w:r>
      <w:r>
        <w:rPr/>
        <w:br/>
      </w:r>
      <w:r>
        <w:rPr/>
        <w:t>2012: 59,088; 2.4% (5 candidates)</w:t>
      </w:r>
      <w:r>
        <w:rPr/>
        <w:br/>
      </w:r>
      <w:r>
        <w:rPr/>
        <w:t>2014: 44,951, 3.4% (8 candidates)</w:t>
      </w:r>
      <w:r>
        <w:rPr>
          <w:b/>
        </w:rPr>
        <w:br/>
      </w:r>
      <w:r>
        <w:rPr/>
        <w:t>2016: 165,610, 6.2% (9 candidates)</w:t>
      </w:r>
    </w:p>
    <w:p>
      <w:pPr>
        <w:pStyle w:val="Normal"/>
      </w:pPr>
      <w:r>
        <w:rPr>
          <w:b/>
        </w:rPr>
        <w:t>Governor</w:t>
      </w:r>
      <w:r>
        <w:rPr/>
        <w:t>:</w:t>
      </w:r>
    </w:p>
    <w:p>
      <w:pPr>
        <w:pStyle w:val="Normal"/>
        <w:rPr>
          <w:b/>
        </w:rPr>
      </w:pPr>
      <w:r>
        <w:rPr/>
        <w:t>Horning 2008: 57,376; 2.1%</w:t>
      </w:r>
      <w:r>
        <w:rPr/>
        <w:br/>
      </w:r>
      <w:r>
        <w:rPr/>
        <w:t>Boneham 2012: 100,335; 4.0%</w:t>
      </w:r>
      <w:r>
        <w:rPr>
          <w:b/>
        </w:rPr>
        <w:br/>
      </w:r>
      <w:r>
        <w:rPr/>
        <w:t>Bell 2016: 87,025, 3.2%</w:t>
      </w:r>
    </w:p>
    <w:p>
      <w:pPr>
        <w:pStyle w:val="Normal"/>
      </w:pPr>
      <w:r>
        <w:rPr>
          <w:b/>
        </w:rPr>
        <w:t>President</w:t>
      </w:r>
      <w:r>
        <w:rPr/>
        <w:t>:</w:t>
      </w:r>
    </w:p>
    <w:p>
      <w:pPr>
        <w:pStyle w:val="Normal"/>
        <w:rPr>
          <w:b/>
        </w:rPr>
      </w:pPr>
      <w:r>
        <w:rPr/>
        <w:t>Barr 2008: 29,257; 1.1%</w:t>
      </w:r>
      <w:r>
        <w:rPr/>
        <w:br/>
      </w:r>
      <w:r>
        <w:rPr/>
        <w:t>Johnson 2012: 49,194; 1.9%</w:t>
      </w:r>
      <w:r>
        <w:rPr>
          <w:b/>
        </w:rPr>
        <w:br/>
      </w:r>
      <w:r>
        <w:rPr/>
        <w:t>Johnson 2016: 133,993, 4.9%</w:t>
      </w:r>
    </w:p>
    <w:p>
      <w:pPr>
        <w:pStyle w:val="Normal"/>
      </w:pPr>
      <w:r>
        <w:rPr>
          <w:b/>
        </w:rPr>
        <w:t>Auditor</w:t>
      </w:r>
      <w:r>
        <w:rPr/>
        <w:t>:</w:t>
      </w:r>
    </w:p>
    <w:p>
      <w:pPr>
        <w:pStyle w:val="Normal"/>
        <w:rPr>
          <w:b/>
        </w:rPr>
      </w:pPr>
      <w:r>
        <w:rPr/>
        <w:t>Knipe 2010: 78,098; 4.6%</w:t>
      </w:r>
      <w:r>
        <w:rPr/>
        <w:br/>
      </w:r>
      <w:r>
        <w:rPr/>
        <w:t>Schick 2014: 58,269; 4.4%</w:t>
      </w:r>
    </w:p>
    <w:p>
      <w:pPr>
        <w:pStyle w:val="Normal"/>
      </w:pPr>
      <w:r>
        <w:rPr>
          <w:b/>
        </w:rPr>
        <w:t>SOS</w:t>
      </w:r>
      <w:r>
        <w:rPr/>
        <w:t>:</w:t>
      </w:r>
    </w:p>
    <w:p>
      <w:pPr>
        <w:pStyle w:val="Normal"/>
      </w:pPr>
      <w:r>
        <w:rPr/>
        <w:t>Kole 2006: 54,381; 3.3%</w:t>
      </w:r>
      <w:r>
        <w:rPr/>
        <w:br/>
      </w:r>
      <w:r>
        <w:rPr/>
        <w:t>Wherry 2010: 100,847; 5.9%</w:t>
      </w:r>
      <w:r>
        <w:rPr/>
        <w:br/>
      </w:r>
      <w:r>
        <w:rPr/>
        <w:t>Tatgenhorst 2014: 45,341; 3.4%</w:t>
      </w:r>
    </w:p>
    <w:p>
      <w:pPr>
        <w:pStyle w:val="Heading3"/>
      </w:pPr>
    </w:p>
    <w:p>
      <w:pPr>
        <w:pStyle w:val="Heading2"/>
      </w:pPr>
      <w:r>
        <w:rPr/>
        <w:t>Ballot Access</w:t>
      </w:r>
    </w:p>
    <w:p>
      <w:pPr>
        <w:pStyle w:val="Heading3"/>
      </w:pPr>
      <w:r>
        <w:rPr/>
        <w:t>Recent Ballot Access Activity</w:t>
      </w:r>
    </w:p>
    <w:p>
      <w:pPr>
        <w:pStyle w:val="Normal"/>
      </w:pPr>
      <w:r>
        <w:rPr/>
        <w:t>LPIN has automatic ballot access because they have surpassed 2% in the in the last Secretary of State (SOS) race. This was reaffirmed with the 2014 SOS race, run by Karl Tatgenhorst.</w:t>
      </w:r>
    </w:p>
    <w:p>
      <w:pPr>
        <w:pStyle w:val="Heading3"/>
      </w:pPr>
      <w:r>
        <w:rPr/>
        <w:t>Upcoming Ballot Access Activity</w:t>
      </w:r>
    </w:p>
    <w:p>
      <w:pPr>
        <w:pStyle w:val="Normal"/>
      </w:pPr>
      <w:r>
        <w:rPr/>
        <w:t>Ballot access is determined every 4 years by the SOS race results; as long as LPIN continues to reach or surpass the 2% mark it will retain ballot access for another 4 years.  No problems are expected with maintaining ballot access in the near future, as LPIN hit 3.4% in the last SOS race.</w:t>
      </w:r>
    </w:p>
    <w:p>
      <w:pPr>
        <w:pStyle w:val="Heading2"/>
      </w:pPr>
      <w:r>
        <w:rPr/>
        <w:t>Activities</w:t>
      </w:r>
    </w:p>
    <w:p>
      <w:pPr>
        <w:pStyle w:val="Heading3"/>
      </w:pPr>
      <w:r>
        <w:rPr/>
        <w:t>State Level Activities</w:t>
      </w:r>
    </w:p>
    <w:p>
      <w:pPr>
        <w:pStyle w:val="Heading4"/>
      </w:pPr>
      <w:r>
        <w:rPr/>
        <w:t>2017 State Convention</w:t>
      </w:r>
    </w:p>
    <w:p>
      <w:pPr>
        <w:pStyle w:val="Normal"/>
      </w:pPr>
      <w:r>
        <w:rPr/>
        <w:t>Tropicana Hotel &amp; Casino, Evansville, IN</w:t>
      </w:r>
      <w:r>
        <w:rPr/>
        <w:br/>
      </w:r>
      <w:r>
        <w:rPr/>
        <w:t>May 5-7, 2017</w:t>
      </w:r>
    </w:p>
    <w:p>
      <w:pPr>
        <w:pStyle w:val="Normal"/>
      </w:pPr>
      <w:r>
        <w:rPr/>
        <w:t xml:space="preserve">Circle City PRIDE </w:t>
      </w:r>
    </w:p>
    <w:p>
      <w:pPr>
        <w:pStyle w:val="Normal"/>
      </w:pPr>
      <w:r>
        <w:rPr/>
        <w:t>June 10, 2017</w:t>
      </w:r>
    </w:p>
    <w:p>
      <w:pPr>
        <w:pStyle w:val="Heading3"/>
      </w:pPr>
      <w:r>
        <w:rPr/>
        <w:t>Local Level Activities</w:t>
      </w:r>
    </w:p>
    <w:p>
      <w:pPr>
        <w:pStyle w:val="Normal"/>
      </w:pPr>
      <w:r>
        <w:rPr/>
        <w:t>Marion County affiliate will be organizing and co-branding Circle City PRIDE on June 10. This is consistently the largest outreach activity undertaken by the county and state parties each year. The Marion County affiliate has also begun organizing more social activities, including "Libertarian Movie Night," a shooting fundraiser, "Drinks with the Officers," and Cards Against Humanity.</w:t>
      </w:r>
    </w:p>
    <w:p>
      <w:pPr>
        <w:pStyle w:val="Normal"/>
      </w:pPr>
      <w:r>
        <w:rPr/>
        <w:t>Monroe County affiliate will be doing a virtual training for phone banking</w:t>
      </w:r>
    </w:p>
    <w:p>
      <w:pPr>
        <w:pStyle w:val="Heading2"/>
      </w:pPr>
      <w:r>
        <w:rPr/>
        <w:t>Finances &amp; Fundraising</w:t>
      </w:r>
    </w:p>
    <w:p>
      <w:pPr>
        <w:pStyle w:val="Heading3"/>
      </w:pPr>
      <w:r>
        <w:rPr/>
        <w:t>Current Initiatives</w:t>
      </w:r>
    </w:p>
    <w:p>
      <w:pPr>
        <w:pStyle w:val="Heading4"/>
      </w:pPr>
      <w:r>
        <w:rPr/>
        <w:t>Texas Hold'em Tournaments</w:t>
      </w:r>
    </w:p>
    <w:p>
      <w:pPr>
        <w:pStyle w:val="Normal"/>
      </w:pPr>
      <w:r>
        <w:rPr/>
        <w:t>LPIN is able to hold Texas Hold’em tournaments through the state's charity gaming license program. It is very successful in raising money with these annual events.</w:t>
      </w:r>
    </w:p>
    <w:p>
      <w:pPr>
        <w:pStyle w:val="Heading4"/>
      </w:pPr>
      <w:r>
        <w:rPr/>
        <w:t>1994 Society</w:t>
      </w:r>
    </w:p>
    <w:p>
      <w:pPr>
        <w:pStyle w:val="Normal"/>
      </w:pPr>
      <w:r>
        <w:rPr/>
        <w:t>This is the monthly pledge program and it brings in the majority of the income for the party.</w:t>
      </w:r>
    </w:p>
    <w:p>
      <w:pPr>
        <w:pStyle w:val="Heading4"/>
      </w:pPr>
      <w:r>
        <w:rPr/>
        <w:t>License the Statewide Voter Registration</w:t>
      </w:r>
    </w:p>
    <w:p>
      <w:pPr>
        <w:pStyle w:val="Normal"/>
      </w:pPr>
      <w:r>
        <w:rPr/>
        <w:t>LPIN licenses the Statewide Voter Registration to several data companies for a good profit.</w:t>
      </w:r>
    </w:p>
    <w:p>
      <w:pPr>
        <w:pStyle w:val="Heading3"/>
      </w:pPr>
      <w:r>
        <w:rPr/>
        <w:t>Future Initiatives</w:t>
      </w:r>
    </w:p>
    <w:p>
      <w:pPr>
        <w:pStyle w:val="Normal"/>
      </w:pPr>
      <w:r>
        <w:rPr/>
        <w:t>UNKNOWN</w:t>
      </w:r>
    </w:p>
    <w:p>
      <w:pPr>
        <w:pStyle w:val="Heading2"/>
      </w:pPr>
      <w:r>
        <w:rPr/>
        <w:t>Information Technology</w:t>
      </w:r>
    </w:p>
    <w:p>
      <w:pPr>
        <w:pStyle w:val="Normal"/>
      </w:pPr>
      <w:r>
        <w:rPr/>
        <w:t>LPIN’s website is currently running on WordPress with a recently updated template thanks to the work of Andy Burns.  There is no consistent use of a Constituent Resource Management (CRM) system for data management, and issues surrounding the 1994 Society transition to the new CRM remain an issue. A recent Central Committee meeting did fund a CRM investment in Wild Apricot, a membership management system.</w:t>
      </w:r>
    </w:p>
    <w:p>
      <w:pPr>
        <w:pStyle w:val="Heading2"/>
      </w:pPr>
      <w:r>
        <w:rPr/>
        <w:t>Other</w:t>
      </w:r>
    </w:p>
    <w:p>
      <w:pPr>
        <w:pStyle w:val="Normal"/>
      </w:pPr>
      <w:r>
        <w:rPr/>
        <w:t xml:space="preserve">LPIN Vice Chair Rodney Benker notes, </w:t>
      </w:r>
      <w:r>
        <w:rPr>
          <w:color w:val="000000"/>
        </w:rPr>
        <w:t>“Indiana is going to crush it in 2017 &amp; 18.”</w:t>
      </w:r>
    </w:p>
    <w:p>
      <w:pPr>
        <w:pStyle w:val="Heading1"/>
        <w:pageBreakBefore/>
      </w:pPr>
      <w:r>
        <w:rPr/>
        <w:t>Libertarian Party of Kentucky</w:t>
      </w:r>
    </w:p>
    <w:p>
      <w:pPr>
        <w:pStyle w:val="Heading2"/>
      </w:pPr>
      <w:r>
        <w:rPr/>
        <w:t>State Organization</w:t>
      </w:r>
    </w:p>
    <w:p>
      <w:pPr>
        <w:pStyle w:val="Heading3"/>
      </w:pPr>
      <w:r>
        <w:rPr/>
        <w:t>Party Leadership Structure</w:t>
      </w:r>
    </w:p>
    <w:p>
      <w:pPr>
        <w:pStyle w:val="Normal"/>
      </w:pPr>
      <w:r>
        <w:rPr/>
        <w:t>Chair: David Capano</w:t>
      </w:r>
    </w:p>
    <w:p>
      <w:pPr>
        <w:pStyle w:val="Normal"/>
      </w:pPr>
      <w:r>
        <w:rPr/>
        <w:t>Vice Chair: Bryan Short</w:t>
      </w:r>
    </w:p>
    <w:p>
      <w:pPr>
        <w:pStyle w:val="Normal"/>
        <w:rPr>
          <w:color w:val="C00000"/>
        </w:rPr>
      </w:pPr>
      <w:r>
        <w:rPr/>
        <w:t xml:space="preserve">Treasurer: </w:t>
      </w:r>
      <w:r>
        <w:rPr>
          <w:color w:val="333333"/>
        </w:rPr>
        <w:t>James Bozman</w:t>
      </w:r>
    </w:p>
    <w:p>
      <w:pPr>
        <w:pStyle w:val="Normal"/>
      </w:pPr>
      <w:r>
        <w:rPr/>
        <w:t xml:space="preserve">Secretary: </w:t>
      </w:r>
      <w:r>
        <w:rPr>
          <w:color w:val="000000"/>
        </w:rPr>
        <w:t xml:space="preserve">Cyrus Eckenberg </w:t>
      </w:r>
    </w:p>
    <w:p>
      <w:pPr>
        <w:pStyle w:val="Heading3"/>
      </w:pPr>
      <w:r>
        <w:rPr/>
        <w:t>Office Space</w:t>
      </w:r>
    </w:p>
    <w:p>
      <w:pPr>
        <w:pStyle w:val="Normal"/>
        <w:rPr>
          <w:color w:val="C00000"/>
        </w:rPr>
      </w:pPr>
      <w:r>
        <w:rPr>
          <w:color w:val="000000"/>
        </w:rPr>
        <w:t xml:space="preserve">LPKY had office space donated for 2 months which was utilized to promote the Libertarian Party Presidential Ticket in a high-traffic area in Northern Kentucky.  This was the first office space in LPKY history and was donated and managed by Chris Robinson (LPKY Judicial Committee) and Amy Robinson (LPKY District 4 Chair.)  Of interest, this was the same space Alison Grimes used during her US Senate campaign against Mitch McConnell ( R ) and David Patterson ( L ).  Office space is being considered for future endeavors. </w:t>
      </w:r>
      <w:r>
        <w:rPr/>
        <w:t>Mail can be sent to LPKY at P.O. Box</w:t>
      </w:r>
      <w:r>
        <w:rPr/>
        <w:t xml:space="preserve"> 73213, Bellevue, KY 41073.</w:t>
      </w:r>
    </w:p>
    <w:p>
      <w:pPr>
        <w:pStyle w:val="Heading3"/>
      </w:pPr>
      <w:r>
        <w:rPr/>
        <w:t>Paid Staff/Contractors</w:t>
      </w:r>
    </w:p>
    <w:p>
      <w:pPr>
        <w:pStyle w:val="Normal"/>
        <w:spacing w:after="200"/>
      </w:pPr>
      <w:r>
        <w:rPr/>
        <w:t>None</w:t>
      </w:r>
    </w:p>
    <w:p>
      <w:pPr>
        <w:pStyle w:val="Heading2"/>
      </w:pPr>
      <w:r>
        <w:rPr/>
        <w:t>State Level Membership</w:t>
      </w:r>
    </w:p>
    <w:p>
      <w:pPr>
        <w:pStyle w:val="Normal"/>
        <w:spacing w:after="200"/>
        <w:rPr>
          <w:color w:val="C00000"/>
        </w:rPr>
      </w:pPr>
      <w:r>
        <w:rPr/>
        <w:t xml:space="preserve">Membership at the state level is represented by the number of </w:t>
      </w:r>
      <w:r>
        <w:rPr>
          <w:color w:val="000000"/>
        </w:rPr>
        <w:t xml:space="preserve">people who </w:t>
      </w:r>
      <w:r>
        <w:rPr>
          <w:color w:val="000000"/>
        </w:rPr>
        <w:t xml:space="preserve">reside in KY and </w:t>
      </w:r>
      <w:r>
        <w:rPr>
          <w:color w:val="000000"/>
        </w:rPr>
        <w:t xml:space="preserve">pay the $30 </w:t>
      </w:r>
      <w:r>
        <w:rPr>
          <w:color w:val="000000"/>
        </w:rPr>
        <w:t xml:space="preserve">(or more) </w:t>
      </w:r>
      <w:r>
        <w:rPr>
          <w:color w:val="000000"/>
        </w:rPr>
        <w:t>annual dues to the state</w:t>
      </w:r>
      <w:r>
        <w:rPr>
          <w:color w:val="000000"/>
        </w:rPr>
        <w:t xml:space="preserve">, monthly donors who pay $10/month to the state, 1798 Club members who pay $17.98/month to the state and Lifetime Members who donated $1,000 or more within a calendar year to the state </w:t>
      </w:r>
      <w:r>
        <w:rPr>
          <w:color w:val="000000"/>
        </w:rPr>
        <w:t>.</w:t>
      </w:r>
      <w:r>
        <w:rPr/>
        <w:t xml:space="preserve">  </w:t>
      </w:r>
      <w:r>
        <w:rPr>
          <w:color w:val="C00000"/>
        </w:rPr>
        <w:t>There are currently nearly 10</w:t>
      </w:r>
      <w:r>
        <w:rPr>
          <w:color w:val="C00000"/>
        </w:rPr>
        <w:t>0 dues paying members in KY.</w:t>
      </w:r>
    </w:p>
    <w:p>
      <w:pPr>
        <w:pStyle w:val="Normal"/>
        <w:spacing w:after="200"/>
      </w:pPr>
      <w:r>
        <w:rPr/>
        <w:t>Membership requirements haven’t changed since 2009, but the requirements are determined by the state executive committee which, as a body, can change the requirements at will.</w:t>
      </w:r>
    </w:p>
    <w:p>
      <w:pPr>
        <w:pStyle w:val="Heading2"/>
      </w:pPr>
      <w:r>
        <w:rPr/>
        <w:t>Sub-Affiliates</w:t>
      </w:r>
    </w:p>
    <w:p>
      <w:pPr>
        <w:pStyle w:val="Normal"/>
        <w:spacing w:after="200"/>
      </w:pPr>
      <w:r>
        <w:rPr/>
        <w:t xml:space="preserve">The State of Kentucky </w:t>
      </w:r>
      <w:r>
        <w:rPr/>
        <w:t>recognize</w:t>
      </w:r>
      <w:r>
        <w:rPr>
          <w:color w:val="C00000"/>
        </w:rPr>
        <w:t>s</w:t>
      </w:r>
      <w:r>
        <w:rPr/>
        <w:t xml:space="preserve"> </w:t>
      </w:r>
      <w:r>
        <w:rPr>
          <w:color w:val="333300"/>
        </w:rPr>
        <w:t xml:space="preserve">LPKY’s affiliates that have filed with KREF and </w:t>
      </w:r>
      <w:r>
        <w:rPr>
          <w:color w:val="333300"/>
        </w:rPr>
        <w:t xml:space="preserve">LPKY is actively working to grow </w:t>
      </w:r>
      <w:r>
        <w:rPr>
          <w:color w:val="333300"/>
        </w:rPr>
        <w:t xml:space="preserve">by </w:t>
      </w:r>
      <w:r>
        <w:rPr>
          <w:color w:val="333300"/>
        </w:rPr>
        <w:t xml:space="preserve">chartering one remaining </w:t>
      </w:r>
      <w:r>
        <w:rPr>
          <w:color w:val="333300"/>
        </w:rPr>
        <w:t>congressional district and then by</w:t>
      </w:r>
      <w:r>
        <w:rPr>
          <w:color w:val="333300"/>
        </w:rPr>
        <w:t xml:space="preserve"> </w:t>
      </w:r>
      <w:r>
        <w:rPr>
          <w:color w:val="333300"/>
        </w:rPr>
        <w:t>chartering more counties in 2017 (LPKY chartered 2 more counties in 2016.)</w:t>
      </w:r>
      <w:r>
        <w:rPr>
          <w:color w:val="333300"/>
        </w:rPr>
        <w:t xml:space="preserve"> </w:t>
      </w:r>
    </w:p>
    <w:p>
      <w:pPr>
        <w:pStyle w:val="Normal"/>
        <w:spacing w:after="200"/>
      </w:pPr>
      <w:r>
        <w:rPr/>
        <w:t>There are currently 6 congressional districts in Kentucky</w:t>
      </w:r>
      <w:r>
        <w:rPr>
          <w:strike/>
        </w:rPr>
        <w:t>,</w:t>
      </w:r>
      <w:r>
        <w:rPr>
          <w:strike/>
          <w:color w:val="000000"/>
        </w:rPr>
        <w:t xml:space="preserve"> </w:t>
      </w:r>
      <w:r>
        <w:rPr>
          <w:color w:val="000000"/>
        </w:rPr>
        <w:t xml:space="preserve">5 </w:t>
      </w:r>
      <w:r>
        <w:rPr>
          <w:color w:val="000000"/>
        </w:rPr>
        <w:t>of which (</w:t>
      </w:r>
      <w:r>
        <w:rPr>
          <w:color w:val="C00000"/>
        </w:rPr>
        <w:t xml:space="preserve">1, </w:t>
      </w:r>
      <w:r>
        <w:rPr/>
        <w:t xml:space="preserve">2, </w:t>
      </w:r>
      <w:r>
        <w:rPr>
          <w:color w:val="C00000"/>
        </w:rPr>
        <w:t xml:space="preserve">3, </w:t>
      </w:r>
      <w:r>
        <w:rPr/>
        <w:t>4,&amp; 6) have active LPKY affiliates,</w:t>
      </w:r>
      <w:r>
        <w:rPr>
          <w:color w:val="000000"/>
        </w:rPr>
        <w:t xml:space="preserve"> </w:t>
      </w:r>
      <w:r>
        <w:rPr>
          <w:color w:val="000000"/>
        </w:rPr>
        <w:t xml:space="preserve">1 </w:t>
      </w:r>
      <w:r>
        <w:rPr>
          <w:color w:val="000000"/>
        </w:rPr>
        <w:t>which</w:t>
      </w:r>
      <w:r>
        <w:rPr/>
        <w:t xml:space="preserve"> </w:t>
      </w:r>
      <w:r>
        <w:rPr>
          <w:color w:val="C00000"/>
        </w:rPr>
        <w:t xml:space="preserve">is </w:t>
      </w:r>
      <w:r>
        <w:rPr>
          <w:color w:val="000000"/>
        </w:rPr>
        <w:t>i</w:t>
      </w:r>
      <w:r>
        <w:rPr/>
        <w:t>n the development phase</w:t>
      </w:r>
      <w:r>
        <w:rPr/>
        <w:t>.</w:t>
      </w:r>
    </w:p>
    <w:p>
      <w:pPr>
        <w:pStyle w:val="Heading2"/>
      </w:pPr>
      <w:r>
        <w:rPr/>
        <w:t>Elections</w:t>
      </w:r>
    </w:p>
    <w:p>
      <w:pPr>
        <w:pStyle w:val="Heading3"/>
      </w:pPr>
      <w:r>
        <w:rPr/>
        <w:t>Past Election Cycle (2016)</w:t>
      </w:r>
    </w:p>
    <w:p>
      <w:pPr>
        <w:pStyle w:val="Heading4"/>
      </w:pPr>
      <w:r>
        <w:rPr/>
        <w:t>Party Status changes from “Political Group” to “political organization”</w:t>
      </w:r>
    </w:p>
    <w:p>
      <w:pPr>
        <w:pStyle w:val="BodyText"/>
      </w:pPr>
      <w:r>
        <w:rPr/>
        <w:t>With the Johnson/Weld ticket earning 4.5% of the state's votes for President/Vice President,</w:t>
      </w:r>
      <w:r>
        <w:rPr>
          <w:color w:val="000000"/>
        </w:rPr>
        <w:t xml:space="preserve"> </w:t>
      </w:r>
      <w:r>
        <w:rPr>
          <w:color w:val="000000"/>
          <w:rFonts w:ascii="Helvetica" w:hAnsi="Helvetica"/>
          <w:sz w:val="18"/>
        </w:rPr>
        <w:t>L</w:t>
      </w:r>
      <w:r>
        <w:rPr>
          <w:color w:val="000000"/>
        </w:rPr>
        <w:t>PKY is now recognized by the Commonwealth of Kentucky as a “Political Organization</w:t>
      </w:r>
      <w:r>
        <w:rPr>
          <w:color w:val="000000"/>
        </w:rPr>
        <w:t>,”</w:t>
      </w:r>
      <w:r>
        <w:rPr/>
        <w:t xml:space="preserve"> with the same petitioning requirements as the Republican and Democratic parties. 53,752 votes were cast for the ticket. This means that ballot access is secured through 2020's election and future status will depend on the 2020 Presidential ticket's outcome.</w:t>
      </w:r>
    </w:p>
    <w:p>
      <w:pPr>
        <w:pStyle w:val="Heading4"/>
      </w:pPr>
      <w:r>
        <w:rPr/>
        <w:t>ONE Libertarian elected to partisan office</w:t>
      </w:r>
    </w:p>
    <w:p>
      <w:pPr>
        <w:pStyle w:val="BodyText"/>
      </w:pPr>
      <w:r>
        <w:rPr/>
        <w:t>Mitch Rushing – Jefferson County Commission</w:t>
      </w:r>
    </w:p>
    <w:p>
      <w:pPr>
        <w:pStyle w:val="Heading3"/>
      </w:pPr>
      <w:r>
        <w:rPr/>
        <w:t>Past Election Cycle (2014)</w:t>
      </w:r>
    </w:p>
    <w:p>
      <w:pPr>
        <w:pStyle w:val="Heading4"/>
        <w:rPr>
          <w:b/>
          <w:i/>
          <w:color w:val="444444"/>
          <w:sz w:val="18"/>
          <w:caps/>
        </w:rPr>
      </w:pPr>
      <w:r>
        <w:rPr/>
        <w:t>two Libertarians elected to partisan office</w:t>
      </w:r>
    </w:p>
    <w:p>
      <w:pPr>
        <w:pStyle w:val="BodyText"/>
      </w:pPr>
      <w:r>
        <w:rPr>
          <w:color w:val="444444"/>
          <w:rFonts w:ascii="Trebuchet MS" w:hAnsi="Trebuchet MS"/>
          <w:sz w:val="18"/>
        </w:rPr>
        <w:t xml:space="preserve">Shannon Denniston </w:t>
      </w:r>
      <w:r>
        <w:rPr>
          <w:rStyle w:val="Emphasis"/>
          <w:i/>
          <w:color w:val="444444"/>
          <w:sz w:val="18"/>
        </w:rPr>
        <w:t xml:space="preserve">- </w:t>
      </w:r>
      <w:r>
        <w:rPr>
          <w:color w:val="444444"/>
          <w:rFonts w:ascii="Trebuchet MS" w:hAnsi="Trebuchet MS"/>
          <w:sz w:val="18"/>
        </w:rPr>
        <w:t>Magistrate in Montgomery County</w:t>
      </w:r>
    </w:p>
    <w:p>
      <w:pPr>
        <w:pStyle w:val="BodyText"/>
      </w:pPr>
      <w:r>
        <w:rPr>
          <w:color w:val="444444"/>
          <w:rFonts w:ascii="Trebuchet MS" w:hAnsi="Trebuchet MS"/>
          <w:sz w:val="18"/>
        </w:rPr>
        <w:t>Tracy Roberts - Magistrate in Marshall County</w:t>
      </w:r>
    </w:p>
    <w:p>
      <w:pPr>
        <w:pStyle w:val="Heading4"/>
        <w:rPr>
          <w:b/>
          <w:i/>
          <w:color w:val="444444"/>
          <w:sz w:val="18"/>
          <w:caps/>
        </w:rPr>
      </w:pPr>
      <w:r>
        <w:rPr/>
        <w:t>two candidates broke 10% in a three-way race</w:t>
      </w:r>
    </w:p>
    <w:p>
      <w:pPr>
        <w:pStyle w:val="Normal"/>
        <w:spacing w:line="285" w:lineRule="atLeast"/>
        <w:rPr>
          <w:color w:val="444444"/>
          <w:rFonts w:ascii="Trebuchet MS" w:hAnsi="Trebuchet MS"/>
          <w:sz w:val="18"/>
        </w:rPr>
      </w:pPr>
      <w:r>
        <w:rPr>
          <w:color w:val="444444"/>
          <w:rFonts w:ascii="Trebuchet MS" w:hAnsi="Trebuchet MS"/>
          <w:sz w:val="18"/>
        </w:rPr>
        <w:t>Cristi Kendrick - Boone County Commissioner #2 earned 11.24%</w:t>
      </w:r>
      <w:r>
        <w:rPr/>
        <w:t xml:space="preserve"> </w:t>
      </w:r>
    </w:p>
    <w:p>
      <w:pPr>
        <w:pStyle w:val="BodyText"/>
        <w:spacing w:line="285" w:lineRule="atLeast"/>
      </w:pPr>
      <w:r>
        <w:rPr>
          <w:color w:val="444444"/>
          <w:rFonts w:ascii="Trebuchet MS" w:hAnsi="Trebuchet MS"/>
          <w:sz w:val="18"/>
        </w:rPr>
        <w:t>Joseph Redmon - Hardin County Constable #5 earned 12.86%</w:t>
      </w:r>
    </w:p>
    <w:p>
      <w:pPr>
        <w:pStyle w:val="Heading4"/>
        <w:rPr>
          <w:b/>
          <w:i/>
          <w:color w:val="444444"/>
          <w:sz w:val="18"/>
          <w:caps/>
        </w:rPr>
      </w:pPr>
      <w:r>
        <w:rPr/>
        <w:t>David patterson – US SEnate</w:t>
      </w:r>
    </w:p>
    <w:p>
      <w:pPr>
        <w:pStyle w:val="Normal"/>
      </w:pPr>
      <w:r>
        <w:rPr>
          <w:color w:val="444444"/>
          <w:rFonts w:ascii="Trebuchet MS" w:hAnsi="Trebuchet MS"/>
          <w:sz w:val="18"/>
        </w:rPr>
        <w:t xml:space="preserve">David Patterson </w:t>
      </w:r>
      <w:r>
        <w:rPr>
          <w:rStyle w:val="Strong"/>
          <w:color w:val="444444"/>
          <w:rFonts w:ascii="Trebuchet MS" w:hAnsi="Trebuchet MS"/>
          <w:sz w:val="18"/>
        </w:rPr>
        <w:t xml:space="preserve">broke the record </w:t>
      </w:r>
      <w:r>
        <w:rPr>
          <w:color w:val="444444"/>
          <w:rFonts w:ascii="Trebuchet MS" w:hAnsi="Trebuchet MS"/>
          <w:sz w:val="18"/>
        </w:rPr>
        <w:t>for the most votes received by a Libertarian in Kentucky. 44,231 voters chose David Patterson for US Senate</w:t>
      </w:r>
      <w:r>
        <w:rPr/>
        <w:t>.</w:t>
      </w:r>
    </w:p>
    <w:p>
      <w:pPr>
        <w:pStyle w:val="Heading3"/>
      </w:pPr>
      <w:r>
        <w:rPr/>
        <w:t>Recent Ballot Access Activity</w:t>
      </w:r>
    </w:p>
    <w:p>
      <w:pPr>
        <w:pStyle w:val="Normal"/>
      </w:pPr>
      <w:r>
        <w:rPr/>
        <w:t>The state of Kentucky defines a “political party” as getting 20% or more in KY the presidential race, a “political organization” as getting 2%-20%, and a “political group” as getting less than 2%.</w:t>
      </w:r>
    </w:p>
    <w:p>
      <w:pPr>
        <w:pStyle w:val="Normal"/>
        <w:rPr>
          <w:color w:val="C00000"/>
        </w:rPr>
      </w:pPr>
      <w:r>
        <w:rPr/>
        <w:t xml:space="preserve">Ballot access for the organization label is such that signature requirements have now dropped to the same levels as the R’s and D’s, reducing signature gathering time and costs, while most likely increasing the number of candidates who would be willing and able to run on the LP ticket in Kentucky. LPKY is no longer considered a “political group”, and LPKY candidates are no longer required to gather significantly more signatures to get on the ballot than their R &amp; D counterparts.  </w:t>
      </w:r>
      <w:r>
        <w:rPr>
          <w:color w:val="C00000"/>
        </w:rPr>
        <w:t>This is record breaking history for the LP in KY and is in large part due to the efforts of the KY campaign, managed by LPKY’s own Vice-Chair Bryan Short, regionally by LPKY Boone County’s own Cristi Kendrick and the outreach efforts of LPKY’s District affiliates.</w:t>
      </w:r>
    </w:p>
    <w:p>
      <w:pPr>
        <w:pStyle w:val="Heading2"/>
      </w:pPr>
      <w:r>
        <w:rPr/>
        <w:t>Activities</w:t>
      </w:r>
    </w:p>
    <w:p>
      <w:pPr>
        <w:pStyle w:val="Heading3"/>
      </w:pPr>
      <w:r>
        <w:rPr/>
        <w:t>State Level Activities</w:t>
      </w:r>
    </w:p>
    <w:p>
      <w:pPr>
        <w:pStyle w:val="BodyText"/>
        <w:rPr>
          <w:color w:val="000000"/>
        </w:rPr>
      </w:pPr>
      <w:r>
        <w:rPr>
          <w:color w:val="000000"/>
        </w:rPr>
        <w:t>2017 State Convention Planning</w:t>
      </w:r>
    </w:p>
    <w:p>
      <w:pPr>
        <w:pStyle w:val="Heading3"/>
      </w:pPr>
      <w:r>
        <w:rPr/>
        <w:t>Local Level Activities</w:t>
      </w:r>
    </w:p>
    <w:p>
      <w:pPr>
        <w:pStyle w:val="BodyText"/>
        <w:rPr>
          <w:color w:val="000000"/>
        </w:rPr>
      </w:pPr>
      <w:r>
        <w:rPr>
          <w:color w:val="000000"/>
        </w:rPr>
        <w:t>Affiliated Districts and Counties are planning their 2017 conventions.</w:t>
      </w:r>
    </w:p>
    <w:p>
      <w:pPr>
        <w:pStyle w:val="Heading2"/>
      </w:pPr>
      <w:r>
        <w:rPr/>
        <w:t>Finances &amp; Fundraising</w:t>
      </w:r>
    </w:p>
    <w:p>
      <w:pPr>
        <w:pStyle w:val="Heading3"/>
      </w:pPr>
      <w:r>
        <w:rPr/>
        <w:t>Recent Initiatives</w:t>
      </w:r>
    </w:p>
    <w:p>
      <w:pPr>
        <w:pStyle w:val="Normal"/>
        <w:spacing w:after="200"/>
        <w:rPr>
          <w:color w:val="000000"/>
        </w:rPr>
      </w:pPr>
      <w:r>
        <w:rPr>
          <w:color w:val="000000"/>
        </w:rPr>
        <w:t>LPKY raised nearly $45,000 for ballot access and achieved the goal, securing the ballot for all Libertarian candidates in KY for the next 4 years!</w:t>
      </w:r>
    </w:p>
    <w:p>
      <w:pPr>
        <w:pStyle w:val="Heading3"/>
      </w:pPr>
      <w:r>
        <w:rPr/>
        <w:t>Current Initiatives</w:t>
      </w:r>
    </w:p>
    <w:p>
      <w:pPr>
        <w:pStyle w:val="Normal"/>
        <w:rPr>
          <w:color w:val="C00000"/>
        </w:rPr>
      </w:pPr>
      <w:r>
        <w:rPr>
          <w:color w:val="000000"/>
        </w:rPr>
        <w:t>The Chair is working with the Convention Committee and will be accepting bids from LPKY Districts to host the Annual State Convention with a deciding criteria of hosting a state party fundraising event during convention weekend.</w:t>
      </w:r>
    </w:p>
    <w:p>
      <w:pPr>
        <w:pStyle w:val="Heading3"/>
        <w:rPr>
          <w:color w:val="000000"/>
        </w:rPr>
      </w:pPr>
      <w:r>
        <w:rPr>
          <w:color w:val="000000"/>
        </w:rPr>
        <w:t>Future Initiatives</w:t>
      </w:r>
    </w:p>
    <w:p>
      <w:pPr>
        <w:pStyle w:val="Normal"/>
        <w:spacing w:after="200"/>
        <w:rPr>
          <w:color w:val="000000"/>
        </w:rPr>
      </w:pPr>
      <w:r>
        <w:rPr>
          <w:color w:val="000000"/>
        </w:rPr>
        <w:t>The Fundraising Committee plans to work with the Membership Committee throughout 2017 to more than double the roster of dues paying members by January 1, 2018.</w:t>
      </w:r>
    </w:p>
    <w:p>
      <w:pPr>
        <w:pStyle w:val="Heading2"/>
      </w:pPr>
      <w:r>
        <w:rPr/>
        <w:t>Media Coverage</w:t>
      </w:r>
    </w:p>
    <w:p>
      <w:pPr>
        <w:pStyle w:val="Normal"/>
        <w:spacing w:after="200"/>
      </w:pPr>
      <w:r>
        <w:rPr/>
        <w:t>Nothing recent</w:t>
      </w:r>
    </w:p>
    <w:p>
      <w:pPr>
        <w:pStyle w:val="Heading2"/>
      </w:pPr>
      <w:r>
        <w:rPr/>
        <w:t>Information Technology</w:t>
      </w:r>
    </w:p>
    <w:p>
      <w:pPr>
        <w:pStyle w:val="Normal"/>
      </w:pPr>
      <w:r>
        <w:rPr/>
        <w:t>The current website is running on Drupal for content management and spreadsheets are used to keep track of donors and registered members.</w:t>
      </w:r>
    </w:p>
    <w:p>
      <w:pPr>
        <w:pStyle w:val="Normal"/>
        <w:rPr>
          <w:color w:val="C00000"/>
        </w:rPr>
      </w:pPr>
      <w:r>
        <w:rPr/>
        <w:t>LPKY is curr</w:t>
      </w:r>
      <w:r>
        <w:rPr>
          <w:color w:val="000000"/>
        </w:rPr>
        <w:t xml:space="preserve">ently </w:t>
      </w:r>
      <w:r>
        <w:rPr>
          <w:color w:val="000000"/>
        </w:rPr>
        <w:t xml:space="preserve">designing a fully overhauled website with the most current version of WordPress and pulling in theme and content elements to both bring its presence on the web into today’s age and in-line with </w:t>
      </w:r>
      <w:r>
        <w:rPr>
          <w:color w:val="000000"/>
        </w:rPr>
        <w:t>LP national’s look and feel.</w:t>
      </w:r>
    </w:p>
    <w:p>
      <w:pPr>
        <w:pStyle w:val="Heading2"/>
      </w:pPr>
      <w:r>
        <w:rPr/>
        <w:t>Other</w:t>
      </w:r>
    </w:p>
    <w:p>
      <w:pPr>
        <w:pStyle w:val="Heading3"/>
      </w:pPr>
    </w:p>
    <w:p>
      <w:pPr>
        <w:pStyle w:val="Normal"/>
        <w:spacing w:before="0" w:after="200"/>
        <w:rPr>
          <w:color w:val="000000"/>
        </w:rPr>
      </w:pPr>
      <w:r>
        <w:rPr>
          <w:color w:val="000000"/>
        </w:rPr>
        <w:t>LPKY has shattered records all year long and surpassed its goals, and in their own words “We’ve only just begun!”</w:t>
      </w:r>
    </w:p>
    <w:p>
      <w:pPr>
        <w:pStyle w:val="Heading1"/>
        <w:pageBreakBefore/>
      </w:pPr>
      <w:r>
        <w:rPr/>
        <w:t>Libertarian Party of Michigan</w:t>
      </w:r>
    </w:p>
    <w:p>
      <w:pPr>
        <w:pStyle w:val="Heading2"/>
      </w:pPr>
      <w:r>
        <w:rPr/>
        <w:t>State Organization</w:t>
      </w:r>
    </w:p>
    <w:p>
      <w:pPr>
        <w:pStyle w:val="Heading3"/>
      </w:pPr>
      <w:r>
        <w:rPr/>
        <w:t>Party Leadership Structure</w:t>
      </w:r>
    </w:p>
    <w:p>
      <w:pPr>
        <w:pStyle w:val="Heading4"/>
      </w:pPr>
      <w:r>
        <w:rPr/>
        <w:t>Elected Positions</w:t>
      </w:r>
    </w:p>
    <w:p>
      <w:pPr>
        <w:pStyle w:val="Normal"/>
        <w:rPr>
          <w:b/>
        </w:rPr>
      </w:pPr>
      <w:r>
        <w:rPr>
          <w:b/>
        </w:rPr>
        <w:t>State Chair</w:t>
      </w:r>
      <w:r>
        <w:rPr/>
        <w:t xml:space="preserve"> – Bill Gelineau, </w:t>
      </w:r>
      <w:hyperlink r:id="rId19">
        <w:r>
          <w:rPr>
            <w:rStyle w:val="Hyperlink"/>
          </w:rPr>
          <w:t>chair@michiganlp.org</w:t>
        </w:r>
      </w:hyperlink>
      <w:r>
        <w:rPr>
          <w:rFonts w:ascii="Cambria" w:hAnsi="Cambria"/>
        </w:rPr>
        <w:t xml:space="preserve"> </w:t>
      </w:r>
      <w:r>
        <w:rPr>
          <w:rFonts w:ascii="Cambria" w:hAnsi="Cambria"/>
        </w:rPr>
        <w:br/>
      </w:r>
      <w:r>
        <w:rPr>
          <w:b/>
        </w:rPr>
        <w:t>Vice Chair</w:t>
      </w:r>
      <w:r>
        <w:rPr/>
        <w:t xml:space="preserve"> – Kimberly McCurry, </w:t>
      </w:r>
      <w:r>
        <w:rPr>
          <w:rStyle w:val="Hyperlink"/>
        </w:rPr>
        <w:t>vicechair@michiganlp.org</w:t>
      </w:r>
      <w:r>
        <w:rPr/>
        <w:br/>
      </w:r>
      <w:r>
        <w:rPr>
          <w:b/>
        </w:rPr>
        <w:t>Secretary</w:t>
      </w:r>
      <w:r>
        <w:rPr/>
        <w:t xml:space="preserve"> – Diane Bostow</w:t>
      </w:r>
      <w:r>
        <w:rPr/>
        <w:br/>
      </w:r>
      <w:r>
        <w:rPr>
          <w:b/>
        </w:rPr>
        <w:t>Treasurer</w:t>
      </w:r>
      <w:r>
        <w:rPr/>
        <w:t xml:space="preserve"> – Jason Brandenburg</w:t>
      </w:r>
    </w:p>
    <w:p>
      <w:pPr>
        <w:pStyle w:val="Normal"/>
      </w:pPr>
      <w:r>
        <w:rPr>
          <w:b/>
        </w:rPr>
        <w:t>Libertarian Executive Committee At-large Directors</w:t>
      </w:r>
      <w:r>
        <w:rPr/>
        <w:t>:</w:t>
      </w:r>
    </w:p>
    <w:p>
      <w:pPr>
        <w:pStyle w:val="ListParagraph"/>
        <w:numPr>
          <w:ilvl w:val="0"/>
          <w:numId w:val="3"/>
        </w:numPr>
        <w:spacing w:line="100" w:lineRule="atLeast"/>
      </w:pPr>
      <w:r>
        <w:rPr/>
        <w:t>Gregory Creswell</w:t>
      </w:r>
    </w:p>
    <w:p>
      <w:pPr>
        <w:pStyle w:val="ListParagraph"/>
        <w:numPr>
          <w:ilvl w:val="0"/>
          <w:numId w:val="3"/>
        </w:numPr>
        <w:spacing w:line="100" w:lineRule="atLeast"/>
      </w:pPr>
      <w:hyperlink r:id="rId20">
        <w:r>
          <w:rPr>
            <w:rStyle w:val="Hyperlink"/>
            <w:color w:val="800000"/>
          </w:rPr>
          <w:t>T</w:t>
        </w:r>
      </w:hyperlink>
      <w:r>
        <w:rPr>
          <w:rStyle w:val="Hyperlink"/>
          <w:color w:val="800000"/>
        </w:rPr>
        <w:t>iffany Hayden</w:t>
      </w:r>
    </w:p>
    <w:p>
      <w:pPr>
        <w:pStyle w:val="ListParagraph"/>
        <w:numPr>
          <w:ilvl w:val="0"/>
          <w:numId w:val="3"/>
        </w:numPr>
        <w:spacing w:line="100" w:lineRule="atLeast"/>
      </w:pPr>
      <w:r>
        <w:rPr/>
        <w:t>Jonathan Osment</w:t>
      </w:r>
    </w:p>
    <w:p>
      <w:pPr>
        <w:pStyle w:val="ListParagraph"/>
        <w:numPr>
          <w:ilvl w:val="0"/>
          <w:numId w:val="3"/>
        </w:numPr>
        <w:spacing w:line="100" w:lineRule="atLeast"/>
      </w:pPr>
      <w:r>
        <w:rPr/>
        <w:t>Emily Salvette</w:t>
      </w:r>
    </w:p>
    <w:p>
      <w:pPr>
        <w:pStyle w:val="ListParagraph"/>
        <w:numPr>
          <w:ilvl w:val="0"/>
          <w:numId w:val="3"/>
        </w:numPr>
        <w:spacing w:line="100" w:lineRule="atLeast"/>
        <w:rPr>
          <w:b/>
        </w:rPr>
      </w:pPr>
      <w:r>
        <w:rPr/>
        <w:t>Jeff Wood</w:t>
      </w:r>
    </w:p>
    <w:p>
      <w:pPr>
        <w:pStyle w:val="Normal"/>
        <w:spacing w:line="100" w:lineRule="atLeast"/>
      </w:pPr>
      <w:r>
        <w:rPr>
          <w:b/>
        </w:rPr>
        <w:t>Judicial Committee</w:t>
      </w:r>
      <w:r>
        <w:rPr/>
        <w:t>:</w:t>
      </w:r>
    </w:p>
    <w:p>
      <w:pPr>
        <w:pStyle w:val="ListParagraph"/>
        <w:numPr>
          <w:ilvl w:val="0"/>
          <w:numId w:val="3"/>
        </w:numPr>
        <w:spacing w:line="100" w:lineRule="atLeast"/>
      </w:pPr>
      <w:r>
        <w:rPr/>
        <w:t xml:space="preserve">Bill Hall </w:t>
      </w:r>
    </w:p>
    <w:p>
      <w:pPr>
        <w:pStyle w:val="ListParagraph"/>
        <w:numPr>
          <w:ilvl w:val="0"/>
          <w:numId w:val="3"/>
        </w:numPr>
        <w:spacing w:line="100" w:lineRule="atLeast"/>
      </w:pPr>
      <w:r>
        <w:rPr/>
        <w:t>Mary Buzuma</w:t>
      </w:r>
    </w:p>
    <w:p>
      <w:pPr>
        <w:pStyle w:val="Heading4"/>
      </w:pPr>
      <w:r>
        <w:rPr/>
        <w:t>Appointed Positions</w:t>
      </w:r>
    </w:p>
    <w:p>
      <w:pPr>
        <w:pStyle w:val="ListParagraph"/>
        <w:numPr>
          <w:ilvl w:val="0"/>
          <w:numId w:val="7"/>
        </w:numPr>
      </w:pPr>
      <w:r>
        <w:rPr/>
        <w:t>Webmaster – Ryan Patrosso</w:t>
      </w:r>
    </w:p>
    <w:p>
      <w:pPr>
        <w:pStyle w:val="ListParagraph"/>
        <w:numPr>
          <w:ilvl w:val="0"/>
          <w:numId w:val="7"/>
        </w:numPr>
      </w:pPr>
      <w:r>
        <w:rPr/>
        <w:t>Political Director – Scotty Bowman</w:t>
      </w:r>
    </w:p>
    <w:p>
      <w:pPr>
        <w:pStyle w:val="ListParagraph"/>
        <w:numPr>
          <w:ilvl w:val="0"/>
          <w:numId w:val="7"/>
        </w:numPr>
      </w:pPr>
      <w:r>
        <w:rPr/>
        <w:t>Membership Coordinator – JJ McCurry</w:t>
      </w:r>
    </w:p>
    <w:p>
      <w:pPr>
        <w:pStyle w:val="ListParagraph"/>
        <w:numPr>
          <w:ilvl w:val="0"/>
          <w:numId w:val="7"/>
        </w:numPr>
      </w:pPr>
      <w:r>
        <w:rPr/>
        <w:t>Media Director – Bradley Hunt</w:t>
      </w:r>
    </w:p>
    <w:p>
      <w:pPr>
        <w:pStyle w:val="Heading3"/>
        <w:rPr>
          <w:color w:val="000000"/>
          <w:rFonts w:ascii="Corbel" w:hAnsi="Corbel"/>
          <w:sz w:val="20"/>
          <w:szCs w:val="20"/>
        </w:rPr>
      </w:pPr>
      <w:r>
        <w:rPr/>
        <w:t>Office Space</w:t>
      </w:r>
    </w:p>
    <w:p>
      <w:pPr>
        <w:pStyle w:val="Normal"/>
      </w:pPr>
      <w:r>
        <w:rPr>
          <w:color w:val="000000"/>
        </w:rPr>
        <w:t xml:space="preserve">LPM does not currently have any office space or plans to acquire any.  Mail can be sent to LPM at P.O. Box 27065, Lansing, MI 48909 </w:t>
      </w:r>
    </w:p>
    <w:p>
      <w:pPr>
        <w:pStyle w:val="Heading2"/>
      </w:pPr>
      <w:r>
        <w:rPr/>
        <w:t>State Level Membership</w:t>
      </w:r>
    </w:p>
    <w:p>
      <w:pPr>
        <w:pStyle w:val="Normal"/>
      </w:pPr>
      <w:r>
        <w:rPr/>
        <w:t>Working on updating this information</w:t>
      </w:r>
    </w:p>
    <w:p>
      <w:pPr>
        <w:pStyle w:val="Heading2"/>
      </w:pPr>
      <w:r>
        <w:rPr/>
        <w:t>Sub-Affiliates</w:t>
      </w:r>
    </w:p>
    <w:p>
      <w:pPr>
        <w:pStyle w:val="Normal"/>
      </w:pPr>
      <w:r>
        <w:rPr/>
        <w:t>Affiliates are currently being formed by groups of neighboring counties.   There are currently a total of 13 sub-affiliates:</w:t>
      </w:r>
    </w:p>
    <w:p>
      <w:pPr>
        <w:pStyle w:val="ListParagraph"/>
        <w:numPr>
          <w:ilvl w:val="0"/>
          <w:numId w:val="4"/>
        </w:numPr>
      </w:pPr>
      <w:r>
        <w:rPr/>
        <w:t>4 very active</w:t>
      </w:r>
    </w:p>
    <w:p>
      <w:pPr>
        <w:pStyle w:val="ListParagraph"/>
        <w:numPr>
          <w:ilvl w:val="0"/>
          <w:numId w:val="4"/>
        </w:numPr>
      </w:pPr>
      <w:r>
        <w:rPr/>
        <w:t>4 active</w:t>
      </w:r>
    </w:p>
    <w:p>
      <w:pPr>
        <w:pStyle w:val="ListParagraph"/>
        <w:numPr>
          <w:ilvl w:val="0"/>
          <w:numId w:val="4"/>
        </w:numPr>
      </w:pPr>
      <w:r>
        <w:rPr/>
        <w:t>4 forming (2 of which are due to new volunteers who have offered to start a local group since the last report)</w:t>
      </w:r>
    </w:p>
    <w:p>
      <w:pPr>
        <w:pStyle w:val="ListParagraph"/>
        <w:numPr>
          <w:ilvl w:val="0"/>
          <w:numId w:val="4"/>
        </w:numPr>
      </w:pPr>
      <w:r>
        <w:rPr/>
        <w:t>3 inactive</w:t>
      </w:r>
    </w:p>
    <w:p>
      <w:pPr>
        <w:pStyle w:val="Heading2"/>
      </w:pPr>
      <w:r>
        <w:rPr/>
        <w:t>Elections</w:t>
      </w:r>
    </w:p>
    <w:p>
      <w:pPr>
        <w:pStyle w:val="Heading3"/>
        <w:rPr>
          <w:rFonts w:ascii="Calibri" w:hAnsi="Calibri"/>
          <w:sz w:val="20"/>
          <w:szCs w:val="20"/>
        </w:rPr>
      </w:pPr>
      <w:r>
        <w:rPr/>
        <w:t>Past Election Cycle (2016)</w:t>
      </w:r>
    </w:p>
    <w:p>
      <w:pPr>
        <w:pStyle w:val="BodyText"/>
      </w:pPr>
      <w:r>
        <w:rPr>
          <w:rFonts w:ascii="Calibri" w:hAnsi="Calibri"/>
        </w:rPr>
        <w:t>The Johnson/Weld ticket garnered 172,136 votes for 3.59% of the ballot. Johnson/Gray did not appear on the ballot in 2012, yet received 7,774 write-in votes for .16%. 2008's Barr/Root ticket earned 23,716 votes and .47%.</w:t>
      </w:r>
    </w:p>
    <w:p>
      <w:pPr>
        <w:pStyle w:val="BodyText"/>
      </w:pPr>
      <w:r>
        <w:rPr>
          <w:rFonts w:ascii="Calibri" w:hAnsi="Calibri"/>
        </w:rPr>
        <w:t xml:space="preserve">LPMI ran 69 candidates from President to Township Trustee. </w:t>
      </w:r>
    </w:p>
    <w:p>
      <w:pPr>
        <w:pStyle w:val="Heading4"/>
      </w:pPr>
      <w:r>
        <w:rPr/>
        <w:t>Special election Results</w:t>
      </w:r>
    </w:p>
    <w:p>
      <w:pPr>
        <w:pStyle w:val="Normal"/>
      </w:pPr>
      <w:r>
        <w:rPr/>
        <w:t xml:space="preserve">LP Michigan ran 2 candidates in the 2016 special election for House District 80 and House District 82.  </w:t>
      </w:r>
    </w:p>
    <w:p>
      <w:pPr>
        <w:pStyle w:val="Normal"/>
      </w:pPr>
      <w:r>
        <w:rPr/>
        <w:t>Arnie Davidson received 6.13% of the vote in House District 80.</w:t>
      </w:r>
    </w:p>
    <w:p>
      <w:pPr>
        <w:pStyle w:val="Normal"/>
      </w:pPr>
      <w:r>
        <w:rPr/>
        <w:t>Tracy Spilker received 4.86% of the vote in House District 82.</w:t>
      </w:r>
    </w:p>
    <w:p>
      <w:pPr>
        <w:pStyle w:val="Normal"/>
        <w:rPr>
          <w:color w:val="000000"/>
          <w:rFonts w:ascii="Calibri" w:hAnsi="Calibri"/>
        </w:rPr>
      </w:pPr>
      <w:r>
        <w:rPr/>
        <w:t>The most notable result is State Rep candidate Michael J. Perry who received 13% of the vote in a 3-way race, achieving 4,843 votes.</w:t>
      </w:r>
    </w:p>
    <w:p>
      <w:pPr>
        <w:pStyle w:val="BodyText"/>
        <w:spacing w:after="0" w:line="330" w:lineRule="atLeast"/>
      </w:pPr>
      <w:r>
        <w:rPr>
          <w:color w:val="000000"/>
          <w:rFonts w:ascii="Calibri" w:hAnsi="Calibri"/>
        </w:rPr>
        <w:t xml:space="preserve"> </w:t>
      </w:r>
      <w:r>
        <w:rPr>
          <w:color w:val="000000"/>
          <w:rFonts w:ascii="Calibri" w:hAnsi="Calibri"/>
        </w:rPr>
        <w:tab/>
      </w:r>
    </w:p>
    <w:p>
      <w:pPr>
        <w:pStyle w:val="Heading2"/>
      </w:pPr>
      <w:r>
        <w:rPr/>
        <w:t>Ballot Access</w:t>
      </w:r>
    </w:p>
    <w:p>
      <w:pPr>
        <w:pStyle w:val="Heading3"/>
      </w:pPr>
      <w:r>
        <w:rPr/>
        <w:t>Recent Ballot Access Activity</w:t>
      </w:r>
    </w:p>
    <w:p>
      <w:pPr>
        <w:pStyle w:val="Normal"/>
      </w:pPr>
      <w:r>
        <w:rPr/>
        <w:t xml:space="preserve">Major party status achieved by virtue of the 2016 Presidential ticket success. </w:t>
      </w:r>
    </w:p>
    <w:p>
      <w:pPr>
        <w:pStyle w:val="Heading3"/>
      </w:pPr>
      <w:r>
        <w:rPr/>
        <w:t>Upcoming Ballot Access Activity</w:t>
      </w:r>
    </w:p>
    <w:p>
      <w:pPr>
        <w:pStyle w:val="Normal"/>
      </w:pPr>
      <w:r>
        <w:rPr/>
        <w:t>See special convention below about changes to bylaws now that major party status has been attained.</w:t>
      </w:r>
    </w:p>
    <w:p>
      <w:pPr>
        <w:pStyle w:val="Heading2"/>
      </w:pPr>
      <w:r>
        <w:rPr/>
        <w:t>Activities</w:t>
      </w:r>
    </w:p>
    <w:p>
      <w:pPr>
        <w:pStyle w:val="Heading3"/>
      </w:pPr>
      <w:r>
        <w:rPr/>
        <w:t>State Level Activities</w:t>
      </w:r>
    </w:p>
    <w:p>
      <w:pPr>
        <w:pStyle w:val="Heading4"/>
        <w:rPr>
          <w:b/>
          <w:i/>
          <w:color w:val="000000"/>
          <w:rFonts w:ascii="Corbel" w:hAnsi="Corbel"/>
          <w:sz w:val="20"/>
          <w:szCs w:val="20"/>
          <w:caps/>
        </w:rPr>
      </w:pPr>
      <w:r>
        <w:rPr/>
        <w:t>2016 Special convention</w:t>
      </w:r>
    </w:p>
    <w:p>
      <w:pPr>
        <w:pStyle w:val="Normal"/>
        <w:spacing w:before="0" w:after="0" w:line="100" w:lineRule="atLeast"/>
      </w:pPr>
      <w:r>
        <w:rPr>
          <w:color w:val="000000"/>
        </w:rPr>
        <w:t>The 2016 Libertarian Party of Michigan special convention took place February 4</w:t>
      </w:r>
      <w:r>
        <w:rPr>
          <w:color w:val="000000"/>
          <w:vertAlign w:val="superscript"/>
        </w:rPr>
        <w:t>th</w:t>
      </w:r>
      <w:r>
        <w:rPr>
          <w:color w:val="000000"/>
        </w:rPr>
        <w:t>, where bylaws were reformed. Firstly, to conform with the scheduling requirements of the State Election Law. Secondly, to enact some reforms which LPM thinks will help them be more successful going forward. Some highlights:</w:t>
      </w:r>
    </w:p>
    <w:p>
      <w:pPr>
        <w:pStyle w:val="Normal"/>
        <w:numPr>
          <w:ilvl w:val="0"/>
          <w:numId w:val="8"/>
        </w:numPr>
        <w:spacing w:before="0" w:after="0" w:line="100" w:lineRule="atLeast"/>
      </w:pPr>
      <w:r>
        <w:rPr>
          <w:color w:val="000000"/>
        </w:rPr>
        <w:t>The 2018 Convention will now take place in August / September as mandated by the State.    Most of the candidates will be nominated by primary.   Some will be done at this later Convention.</w:t>
      </w:r>
    </w:p>
    <w:p>
      <w:pPr>
        <w:pStyle w:val="Normal"/>
        <w:numPr>
          <w:ilvl w:val="0"/>
          <w:numId w:val="8"/>
        </w:numPr>
        <w:spacing w:before="0" w:after="0" w:line="100" w:lineRule="atLeast"/>
      </w:pPr>
      <w:r>
        <w:rPr/>
        <w:t>The State LEC will be elected for a 2 year term to coincide with the election cycle, doing that this year on July 29 in Lansing.</w:t>
      </w:r>
    </w:p>
    <w:p>
      <w:pPr>
        <w:pStyle w:val="Normal"/>
        <w:numPr>
          <w:ilvl w:val="0"/>
          <w:numId w:val="8"/>
        </w:numPr>
        <w:spacing w:before="0" w:after="0" w:line="100" w:lineRule="atLeast"/>
      </w:pPr>
      <w:r>
        <w:rPr/>
        <w:t>The LEC will now be differently constructed.   5 officers…. Chair, 2 Vice-Chairs, Treasurer, and Secretary will be elected At-Large.    Each of our 14 Congressional Districts will choose one representative to the Exec Committee.</w:t>
      </w:r>
    </w:p>
    <w:p>
      <w:pPr>
        <w:pStyle w:val="Normal"/>
        <w:numPr>
          <w:ilvl w:val="0"/>
          <w:numId w:val="8"/>
        </w:numPr>
        <w:spacing w:before="0" w:after="0" w:line="100" w:lineRule="atLeast"/>
      </w:pPr>
      <w:r>
        <w:rPr/>
        <w:t>LPM will be utilizing a delegate process for choosing the voting members at the Convention. Emily Salvette has taken on the challenge of doing our first one.</w:t>
      </w:r>
    </w:p>
    <w:p>
      <w:pPr>
        <w:pStyle w:val="Normal"/>
        <w:spacing w:before="0" w:after="0" w:line="100" w:lineRule="atLeast"/>
      </w:pPr>
      <w:r>
        <w:rPr>
          <w:color w:val="000000"/>
        </w:rPr>
      </w:r>
    </w:p>
    <w:p>
      <w:pPr>
        <w:pStyle w:val="Normal"/>
        <w:spacing w:before="0" w:after="0" w:line="100" w:lineRule="atLeast"/>
      </w:pPr>
      <w:r>
        <w:rPr/>
        <w:t>Defender of Liberty Awards (“Libbies”) have been presented at their annual LibertyFest Banquet to a maximum of six select individuals, Libertarian or otherwise, who have made notable personal efforts in the defense of liberty. Awards are normally presented to Michigan residents.</w:t>
      </w:r>
    </w:p>
    <w:p>
      <w:pPr>
        <w:pStyle w:val="BodyText"/>
        <w:spacing w:after="225" w:line="330" w:lineRule="atLeast"/>
        <w:rPr>
          <w:b/>
          <w:color w:val="000000"/>
        </w:rPr>
      </w:pPr>
      <w:r>
        <w:rPr>
          <w:color w:val="000000"/>
        </w:rPr>
        <w:t>LPM granted three Libby Awards at the event to three very deserving Libertarians:</w:t>
      </w:r>
    </w:p>
    <w:p>
      <w:pPr>
        <w:pStyle w:val="BodyText"/>
        <w:numPr>
          <w:ilvl w:val="0"/>
          <w:numId w:val="8"/>
        </w:numPr>
        <w:spacing w:after="225" w:line="330" w:lineRule="atLeast"/>
        <w:rPr>
          <w:b/>
          <w:color w:val="000000"/>
        </w:rPr>
      </w:pPr>
      <w:r>
        <w:rPr>
          <w:b/>
          <w:color w:val="000000"/>
        </w:rPr>
        <w:t xml:space="preserve">Spokesperson for Liberty Award: </w:t>
      </w:r>
      <w:r>
        <w:rPr>
          <w:color w:val="000000"/>
        </w:rPr>
        <w:t>Glenn Wilson</w:t>
      </w:r>
    </w:p>
    <w:p>
      <w:pPr>
        <w:pStyle w:val="BodyText"/>
        <w:numPr>
          <w:ilvl w:val="0"/>
          <w:numId w:val="8"/>
        </w:numPr>
        <w:spacing w:after="225" w:line="330" w:lineRule="atLeast"/>
        <w:rPr>
          <w:b/>
          <w:color w:val="000000"/>
        </w:rPr>
      </w:pPr>
      <w:r>
        <w:rPr>
          <w:b/>
          <w:color w:val="000000"/>
        </w:rPr>
        <w:t xml:space="preserve">Promoter of Liberty Award: </w:t>
      </w:r>
      <w:r>
        <w:rPr>
          <w:color w:val="000000"/>
        </w:rPr>
        <w:t>Bradley Hunt</w:t>
      </w:r>
    </w:p>
    <w:p>
      <w:pPr>
        <w:pStyle w:val="BodyText"/>
        <w:numPr>
          <w:ilvl w:val="0"/>
          <w:numId w:val="8"/>
        </w:numPr>
        <w:spacing w:after="225" w:line="330" w:lineRule="atLeast"/>
      </w:pPr>
      <w:r>
        <w:rPr>
          <w:b/>
          <w:color w:val="000000"/>
        </w:rPr>
        <w:t xml:space="preserve">Producer of Liberty Award: </w:t>
      </w:r>
      <w:r>
        <w:rPr>
          <w:color w:val="000000"/>
        </w:rPr>
        <w:t>Raymond Warner</w:t>
      </w:r>
    </w:p>
    <w:p>
      <w:pPr>
        <w:pStyle w:val="Heading3"/>
        <w:rPr>
          <w:b/>
          <w:i/>
          <w:color w:val="969696"/>
          <w:rFonts w:ascii="Trebuchet MS"/>
          <w:sz w:val="22"/>
        </w:rPr>
      </w:pPr>
      <w:r>
        <w:rPr>
          <w:b/>
          <w:i/>
          <w:color w:val="969696"/>
          <w:rFonts w:ascii="Trebuchet MS"/>
          <w:sz w:val="22"/>
        </w:rPr>
        <w:t>UNAFFILIATED COUNTIES</w:t>
      </w:r>
    </w:p>
    <w:p>
      <w:pPr>
        <w:pStyle w:val="Heading3"/>
        <w:rPr>
          <w:b w:val="0"/>
          <w:rFonts w:ascii="Corbel"/>
          <w:sz w:val="24"/>
        </w:rPr>
      </w:pPr>
      <w:r>
        <w:rPr>
          <w:b w:val="0"/>
          <w:rFonts w:ascii="Corbel"/>
          <w:sz w:val="24"/>
        </w:rPr>
        <w:t>Unaffiliated counties were distributed into 7 regions, organizing them to help select delegates, LPM expects at least 4 of these to develop into affiliates. In the mean time, they’re making a lot of ongoing contacts and building up areas long ignored, as new members continue to flow in.</w:t>
      </w:r>
    </w:p>
    <w:p>
      <w:pPr>
        <w:pStyle w:val="Heading3"/>
      </w:pPr>
      <w:r/>
    </w:p>
    <w:p>
      <w:pPr>
        <w:pStyle w:val="Heading3"/>
      </w:pPr>
      <w:r>
        <w:rPr/>
        <w:t>Local Level Activities</w:t>
      </w:r>
    </w:p>
    <w:p>
      <w:pPr>
        <w:pStyle w:val="Heading4"/>
      </w:pPr>
      <w:r>
        <w:rPr/>
        <w:t>Liberty Fest</w:t>
      </w:r>
    </w:p>
    <w:p>
      <w:pPr>
        <w:pStyle w:val="Normal"/>
      </w:pPr>
      <w:r>
        <w:rPr/>
        <w:t>Liberty Fest is an annual event in LP Michigan which is held by a different local affiliate each year.  The purpose is to recognize dedicated members of LP Michigan.  The event includes an award presentation for a Promoter of Liberty, a Defender of Liberty, and a Behind the Scenes Liberty Activist.  This is a chance for LP Michigan leaders to congratulate and express their gratitude for the hardest working and most successful members and celebrate recent LP Michigan successes.</w:t>
      </w:r>
    </w:p>
    <w:p>
      <w:pPr>
        <w:pStyle w:val="Heading2"/>
      </w:pPr>
      <w:r>
        <w:rPr/>
        <w:t>Finances &amp; Fundraising</w:t>
      </w:r>
    </w:p>
    <w:p>
      <w:pPr>
        <w:pStyle w:val="Heading3"/>
      </w:pPr>
      <w:r>
        <w:rPr/>
        <w:t xml:space="preserve">Past Initiatives </w:t>
      </w:r>
    </w:p>
    <w:p>
      <w:pPr>
        <w:pStyle w:val="Normal"/>
      </w:pPr>
      <w:r>
        <w:rPr/>
        <w:t>None active</w:t>
      </w:r>
    </w:p>
    <w:p>
      <w:pPr>
        <w:pStyle w:val="Heading3"/>
      </w:pPr>
      <w:r>
        <w:rPr/>
        <w:t>Current Initiatives</w:t>
      </w:r>
    </w:p>
    <w:p>
      <w:pPr>
        <w:pStyle w:val="Normal"/>
      </w:pPr>
      <w:r>
        <w:rPr/>
        <w:t>None active</w:t>
      </w:r>
    </w:p>
    <w:p>
      <w:pPr>
        <w:pStyle w:val="Heading3"/>
      </w:pPr>
      <w:r>
        <w:rPr/>
        <w:t>Future Initiatives</w:t>
      </w:r>
    </w:p>
    <w:p>
      <w:pPr>
        <w:pStyle w:val="Normal"/>
      </w:pPr>
      <w:r>
        <w:rPr/>
        <w:t>None planned currently</w:t>
      </w:r>
    </w:p>
    <w:p>
      <w:pPr>
        <w:pStyle w:val="Heading2"/>
        <w:rPr>
          <w:color w:val="000000"/>
          <w:rFonts w:ascii="Corbel" w:hAnsi="Corbel"/>
          <w:sz w:val="20"/>
          <w:szCs w:val="20"/>
        </w:rPr>
      </w:pPr>
      <w:r>
        <w:rPr/>
        <w:t>Media Coverage</w:t>
      </w:r>
    </w:p>
    <w:p>
      <w:pPr>
        <w:pStyle w:val="Normal"/>
        <w:rPr>
          <w:color w:val="FF0000"/>
        </w:rPr>
      </w:pPr>
      <w:r>
        <w:rPr>
          <w:rStyle w:val="Hyperlink"/>
          <w:color w:val="000000"/>
        </w:rPr>
        <w:t>None listed on the website at this time</w:t>
      </w:r>
    </w:p>
    <w:p>
      <w:pPr>
        <w:pStyle w:val="Normal"/>
        <w:ind w:left="1440"/>
        <w:rPr>
          <w:color w:val="FF0000"/>
        </w:rPr>
      </w:pPr>
    </w:p>
    <w:p>
      <w:pPr>
        <w:pStyle w:val="Heading2"/>
      </w:pPr>
      <w:r>
        <w:rPr/>
        <w:t>Information Technology</w:t>
      </w:r>
    </w:p>
    <w:p>
      <w:pPr>
        <w:pStyle w:val="Normal"/>
      </w:pPr>
      <w:r>
        <w:rPr/>
        <w:t xml:space="preserve">LPM currently uses Wordpress as the back-end for its website.  </w:t>
      </w:r>
    </w:p>
    <w:p>
      <w:pPr>
        <w:pStyle w:val="Heading2"/>
      </w:pPr>
      <w:r>
        <w:rPr/>
        <w:t>Other</w:t>
      </w:r>
    </w:p>
    <w:p>
      <w:pPr>
        <w:pStyle w:val="Heading3"/>
      </w:pPr>
    </w:p>
    <w:p>
      <w:pPr>
        <w:pStyle w:val="Heading1"/>
        <w:pageBreakBefore/>
      </w:pPr>
      <w:r>
        <w:rPr/>
        <w:t>Libertarian Party of Ohio</w:t>
      </w:r>
    </w:p>
    <w:p>
      <w:pPr>
        <w:pStyle w:val="Heading2"/>
      </w:pPr>
      <w:r>
        <w:rPr/>
        <w:t>State Organization</w:t>
      </w:r>
    </w:p>
    <w:p>
      <w:pPr>
        <w:pStyle w:val="Heading3"/>
      </w:pPr>
      <w:r>
        <w:rPr/>
        <w:t>Party Leadership Structure</w:t>
      </w:r>
    </w:p>
    <w:p>
      <w:pPr>
        <w:pStyle w:val="Heading4"/>
      </w:pPr>
      <w:r>
        <w:rPr/>
        <w:t>Elected Positions</w:t>
      </w:r>
    </w:p>
    <w:p>
      <w:pPr>
        <w:pStyle w:val="Normal"/>
      </w:pPr>
      <w:r>
        <w:rPr/>
        <w:t xml:space="preserve">Like the Republican and Democrat counterparts in Ohio, the Libertarian Party of Ohio (LPO) is managed by a state Central Committee (CentCom) which is a body of members elected through the formal election primary process.  </w:t>
      </w:r>
    </w:p>
    <w:p>
      <w:pPr>
        <w:pStyle w:val="Normal"/>
      </w:pPr>
      <w:r>
        <w:rPr/>
        <w:t>The CentCom operates like a board of directors which elects the state Executive Committee (ExCom) which runs the day to day operations of the LPO.</w:t>
      </w:r>
    </w:p>
    <w:p>
      <w:pPr>
        <w:pStyle w:val="Normal"/>
      </w:pPr>
      <w:r>
        <w:rPr/>
        <w:t>After the most recent primary election, the state CentCom elected the following leaders to the ExCom:</w:t>
      </w:r>
    </w:p>
    <w:p>
      <w:pPr>
        <w:pStyle w:val="ListParagraph"/>
        <w:numPr>
          <w:ilvl w:val="0"/>
          <w:numId w:val="5"/>
        </w:numPr>
      </w:pPr>
      <w:r>
        <w:rPr/>
        <w:t xml:space="preserve">**Chair: </w:t>
      </w:r>
      <w:r>
        <w:rPr>
          <w:rStyle w:val="Hyperlink"/>
          <w:color w:val="800000"/>
        </w:rPr>
        <w:t xml:space="preserve">Scott Pettigrew – </w:t>
      </w:r>
      <w:hyperlink r:id="rId21">
        <w:r>
          <w:rPr>
            <w:rStyle w:val="Hyperlink"/>
          </w:rPr>
          <w:t>scott.pettigrew@lpo.org</w:t>
        </w:r>
      </w:hyperlink>
    </w:p>
    <w:p>
      <w:pPr>
        <w:pStyle w:val="ListParagraph"/>
        <w:numPr>
          <w:ilvl w:val="0"/>
          <w:numId w:val="5"/>
        </w:numPr>
      </w:pPr>
      <w:r>
        <w:rPr/>
        <w:t xml:space="preserve">**Vice Chair: Elizabeth Gentner – </w:t>
      </w:r>
      <w:hyperlink r:id="rId22">
        <w:r>
          <w:rPr>
            <w:rStyle w:val="Hyperlink"/>
          </w:rPr>
          <w:t>elizabeth.gentner@lpo.org</w:t>
        </w:r>
      </w:hyperlink>
    </w:p>
    <w:p>
      <w:pPr>
        <w:pStyle w:val="ListParagraph"/>
        <w:numPr>
          <w:ilvl w:val="0"/>
          <w:numId w:val="5"/>
        </w:numPr>
      </w:pPr>
      <w:r>
        <w:rPr/>
        <w:t xml:space="preserve">Secretary: Robert Coogan – </w:t>
      </w:r>
      <w:hyperlink r:id="rId23">
        <w:r>
          <w:rPr>
            <w:rStyle w:val="Hyperlink"/>
          </w:rPr>
          <w:t>robert.coogan@lpo.org</w:t>
        </w:r>
      </w:hyperlink>
      <w:r>
        <w:rPr/>
        <w:t xml:space="preserve"> </w:t>
      </w:r>
    </w:p>
    <w:p>
      <w:pPr>
        <w:pStyle w:val="ListParagraph"/>
        <w:numPr>
          <w:ilvl w:val="0"/>
          <w:numId w:val="5"/>
        </w:numPr>
      </w:pPr>
      <w:r>
        <w:rPr/>
        <w:t xml:space="preserve">Deputy Secretary: Kevin Knedler – </w:t>
      </w:r>
      <w:hyperlink r:id="rId24">
        <w:r>
          <w:rPr>
            <w:rStyle w:val="Hyperlink"/>
          </w:rPr>
          <w:t>kevin.knedler@lpo.org</w:t>
        </w:r>
      </w:hyperlink>
      <w:r>
        <w:rPr/>
        <w:t xml:space="preserve"> </w:t>
      </w:r>
    </w:p>
    <w:p>
      <w:pPr>
        <w:pStyle w:val="ListParagraph"/>
        <w:numPr>
          <w:ilvl w:val="0"/>
          <w:numId w:val="5"/>
        </w:numPr>
      </w:pPr>
      <w:r>
        <w:rPr/>
        <w:t xml:space="preserve">Treasurer: Linda Comstock – </w:t>
      </w:r>
      <w:hyperlink r:id="rId25">
        <w:r>
          <w:rPr>
            <w:rStyle w:val="Hyperlink"/>
          </w:rPr>
          <w:t>linda.comstock@lpo.org</w:t>
        </w:r>
      </w:hyperlink>
      <w:r>
        <w:rPr/>
        <w:t xml:space="preserve"> </w:t>
      </w:r>
    </w:p>
    <w:p>
      <w:pPr>
        <w:pStyle w:val="ListParagraph"/>
        <w:numPr>
          <w:ilvl w:val="0"/>
          <w:numId w:val="5"/>
        </w:numPr>
      </w:pPr>
      <w:r>
        <w:rPr/>
        <w:t xml:space="preserve">Deputy Treasurer: Christopher Gill - </w:t>
      </w:r>
      <w:hyperlink r:id="rId26">
        <w:r>
          <w:rPr>
            <w:rStyle w:val="Hyperlink"/>
          </w:rPr>
          <w:t>chris.gill@lpo.org</w:t>
        </w:r>
      </w:hyperlink>
      <w:r>
        <w:rPr/>
        <w:t xml:space="preserve"> </w:t>
      </w:r>
    </w:p>
    <w:p>
      <w:pPr>
        <w:pStyle w:val="ListParagraph"/>
        <w:numPr>
          <w:ilvl w:val="0"/>
          <w:numId w:val="5"/>
        </w:numPr>
      </w:pPr>
      <w:r>
        <w:rPr/>
        <w:t xml:space="preserve">At-Large: Ann Leech – </w:t>
      </w:r>
      <w:hyperlink r:id="rId27">
        <w:r>
          <w:rPr>
            <w:rStyle w:val="Hyperlink"/>
          </w:rPr>
          <w:t>ann.leech@lpo.org</w:t>
        </w:r>
      </w:hyperlink>
      <w:r>
        <w:rPr/>
        <w:t xml:space="preserve"> </w:t>
      </w:r>
    </w:p>
    <w:p>
      <w:pPr>
        <w:pStyle w:val="ListParagraph"/>
        <w:numPr>
          <w:ilvl w:val="0"/>
          <w:numId w:val="5"/>
        </w:numPr>
      </w:pPr>
      <w:r>
        <w:rPr/>
        <w:t xml:space="preserve">At-Large: Christopher Gill - </w:t>
      </w:r>
      <w:hyperlink r:id="rId28">
        <w:r>
          <w:rPr>
            <w:rStyle w:val="Hyperlink"/>
          </w:rPr>
          <w:t>chris.gill@lpo.org</w:t>
        </w:r>
      </w:hyperlink>
      <w:r>
        <w:rPr/>
        <w:t xml:space="preserve"> </w:t>
      </w:r>
    </w:p>
    <w:p>
      <w:pPr>
        <w:pStyle w:val="ListParagraph"/>
        <w:numPr>
          <w:ilvl w:val="0"/>
          <w:numId w:val="5"/>
        </w:numPr>
      </w:pPr>
      <w:r>
        <w:rPr/>
        <w:t xml:space="preserve">At-Large: Harold Thomas – </w:t>
      </w:r>
      <w:hyperlink r:id="rId29">
        <w:r>
          <w:rPr>
            <w:rStyle w:val="Hyperlink"/>
          </w:rPr>
          <w:t>harold.thomas@lpo.org</w:t>
        </w:r>
      </w:hyperlink>
      <w:r>
        <w:rPr/>
        <w:t xml:space="preserve"> </w:t>
      </w:r>
    </w:p>
    <w:p>
      <w:pPr>
        <w:pStyle w:val="ListParagraph"/>
        <w:ind w:left="0"/>
      </w:pPr>
      <w:r>
        <w:rPr/>
        <w:t xml:space="preserve">**Elected at the December 3, 2016 Executive Committee meeting. </w:t>
      </w:r>
    </w:p>
    <w:p>
      <w:pPr>
        <w:pStyle w:val="Heading4"/>
      </w:pPr>
      <w:r>
        <w:rPr/>
        <w:t>Appointed Positions</w:t>
      </w:r>
    </w:p>
    <w:p>
      <w:pPr>
        <w:pStyle w:val="Normal"/>
      </w:pPr>
      <w:r>
        <w:rPr/>
        <w:t xml:space="preserve">The LPO bylaws specify a divisional structure for the LPO and allow for the ExCom chair to appoint division directors to lead each division.  The LPO believes the divisional structure provides a strong set of leaders, each of whom is focused on an area of expertise and responsibility.  With this approach, no one person needs to know or be responsible for too many different activities.  </w:t>
      </w:r>
    </w:p>
    <w:p>
      <w:pPr>
        <w:pStyle w:val="Normal"/>
      </w:pPr>
      <w:r>
        <w:rPr/>
        <w:t>The divisions and appointed leaders are as follows:</w:t>
      </w:r>
    </w:p>
    <w:p>
      <w:pPr>
        <w:pStyle w:val="ListParagraph"/>
        <w:numPr>
          <w:ilvl w:val="0"/>
          <w:numId w:val="6"/>
        </w:numPr>
      </w:pPr>
      <w:r>
        <w:rPr/>
        <w:t>Communication Division – Media Contact: Aaron Harris, Copy Editor: John Fockler</w:t>
      </w:r>
    </w:p>
    <w:p>
      <w:pPr>
        <w:pStyle w:val="ListParagraph"/>
        <w:numPr>
          <w:ilvl w:val="0"/>
          <w:numId w:val="6"/>
        </w:numPr>
      </w:pPr>
      <w:r>
        <w:rPr/>
        <w:t>Field Development Division – Director: Vacant</w:t>
      </w:r>
    </w:p>
    <w:p>
      <w:pPr>
        <w:pStyle w:val="ListParagraph"/>
        <w:numPr>
          <w:ilvl w:val="1"/>
          <w:numId w:val="6"/>
        </w:numPr>
      </w:pPr>
      <w:r>
        <w:rPr/>
        <w:t>9 regional liaison positions available (3 currently filled)</w:t>
      </w:r>
    </w:p>
    <w:p>
      <w:pPr>
        <w:pStyle w:val="ListParagraph"/>
        <w:numPr>
          <w:ilvl w:val="0"/>
          <w:numId w:val="6"/>
        </w:numPr>
      </w:pPr>
      <w:r>
        <w:rPr/>
        <w:t>Finance Division – Director: Gregory Pizarro</w:t>
      </w:r>
    </w:p>
    <w:p>
      <w:pPr>
        <w:pStyle w:val="ListParagraph"/>
        <w:numPr>
          <w:ilvl w:val="0"/>
          <w:numId w:val="6"/>
        </w:numPr>
      </w:pPr>
      <w:r>
        <w:rPr/>
        <w:t>IT Division – Director: Vacant</w:t>
      </w:r>
    </w:p>
    <w:p>
      <w:pPr>
        <w:pStyle w:val="ListParagraph"/>
        <w:numPr>
          <w:ilvl w:val="0"/>
          <w:numId w:val="6"/>
        </w:numPr>
      </w:pPr>
      <w:r>
        <w:rPr/>
        <w:t>Political Division – Director: Tricia Sprankle, Deputy Director: Joe Bowersox</w:t>
      </w:r>
    </w:p>
    <w:p>
      <w:pPr>
        <w:pStyle w:val="Heading3"/>
      </w:pPr>
      <w:r>
        <w:rPr/>
        <w:t>Office Space</w:t>
      </w:r>
    </w:p>
    <w:p>
      <w:pPr>
        <w:pStyle w:val="Normal"/>
      </w:pPr>
      <w:r>
        <w:rPr/>
        <w:t>The LPO maintains its two-room, fully-functional office of approximately 240 sq. ft. at 2586 Tiller Lane, Suite 2K, Columbus, OH 43231-2265.</w:t>
      </w:r>
    </w:p>
    <w:p>
      <w:pPr>
        <w:pStyle w:val="Heading3"/>
      </w:pPr>
      <w:r>
        <w:rPr/>
        <w:t>Paid Staff/Contractors</w:t>
      </w:r>
    </w:p>
    <w:p>
      <w:pPr>
        <w:pStyle w:val="Normal"/>
        <w:spacing w:after="200"/>
      </w:pPr>
      <w:r>
        <w:rPr/>
        <w:t>The LPO currently has one paid contractor who is paid on a commission basis as Finance Director.  The Finance Director is responsible for tracking and soliciting contributions, managing the benefits to the contributors, keeping personal contact with higher level donors, sending thank you cards, planning income-generating events and activities, etc.</w:t>
      </w:r>
    </w:p>
    <w:tbl>
      <w:tblPr>
        <w:tblW w:w="0" w:type="auto"/>
        <w:tblInd w:w="-108" w:type="dxa"/>
        <w:tblStyle w:val="TableNormal"/>
        <w:tblLook w:firstRow="1" w:lastRow="1" w:firstColumn="1" w:lastColumn="1" w:noHBand="0" w:noVBand="0"/>
      </w:tblPr>
      <w:tblGrid>
        <w:gridCol w:w="10080"/>
        <w:gridCol w:w="236"/>
      </w:tblGrid>
      <w:tr>
        <w:trPr>
          <w:trHeight w:val="23" w:hRule="atLeast"/>
        </w:trPr>
        <w:tc>
          <w:tcPr>
            <w:vAlign w:val="top"/>
            <w:tcW w:w="10080" w:type="dxa"/>
          </w:tcPr>
          <w:p>
            <w:pPr>
              <w:pStyle w:val="Heading2"/>
            </w:pPr>
            <w:r>
              <w:rPr/>
              <w:t>State Level Membership</w:t>
            </w:r>
          </w:p>
          <w:p>
            <w:pPr>
              <w:pStyle w:val="Normal"/>
              <w:spacing w:after="200"/>
            </w:pPr>
            <w:r>
              <w:rPr/>
              <w:t>Nothing submitted</w:t>
            </w:r>
          </w:p>
        </w:tc>
        <w:tc>
          <w:tcPr>
            <w:vAlign w:val="top"/>
            <w:tcW w:w="197" w:type="dxa"/>
          </w:tcPr>
          <w:p>
            <w:pPr>
              <w:pStyle w:val="Normal"/>
            </w:pPr>
          </w:p>
        </w:tc>
      </w:tr>
      <w:tr>
        <w:tc>
          <w:tcPr>
            <w:vAlign w:val="top"/>
            <w:tcW w:w="10080" w:type="dxa"/>
          </w:tcPr>
          <w:p>
            <w:pPr>
              <w:pStyle w:val="Heading2"/>
            </w:pPr>
            <w:r>
              <w:rPr/>
              <w:t>Sub-Affiliates</w:t>
            </w:r>
          </w:p>
          <w:p>
            <w:pPr>
              <w:pStyle w:val="Normal"/>
              <w:spacing w:after="200"/>
            </w:pPr>
            <w:r>
              <w:rPr/>
              <w:t>Nothing submitted</w:t>
            </w:r>
          </w:p>
        </w:tc>
        <w:tc>
          <w:tcPr>
            <w:vAlign w:val="top"/>
            <w:tcW w:w="197" w:type="dxa"/>
          </w:tcPr>
          <w:p>
            <w:pPr>
              <w:pStyle w:val="Normal"/>
            </w:pPr>
          </w:p>
        </w:tc>
      </w:tr>
      <w:tr>
        <w:tc>
          <w:tcPr>
            <w:vAlign w:val="top"/>
            <w:tcW w:w="10080" w:type="dxa"/>
          </w:tcPr>
          <w:p>
            <w:pPr>
              <w:pStyle w:val="Heading2"/>
            </w:pPr>
            <w:r>
              <w:rPr/>
              <w:t>Elections</w:t>
            </w:r>
          </w:p>
          <w:p>
            <w:pPr>
              <w:pStyle w:val="Heading3"/>
            </w:pPr>
            <w:r>
              <w:rPr/>
              <w:t>Past Election Cycle (2016)</w:t>
            </w:r>
          </w:p>
          <w:p>
            <w:pPr>
              <w:pStyle w:val="Normal"/>
              <w:spacing w:after="200"/>
            </w:pPr>
            <w:r>
              <w:rPr/>
              <w:t>Due to the ballot access issues in place in Ohio, Gary Johnson was listed as an Independent candidate for President, rather than having the Libertarian Party label. He earned 174,498 votes or 3.17% of the 5,607,641 votes cast. No other LPO candidates appeared on the ballot.</w:t>
            </w:r>
          </w:p>
          <w:p>
            <w:pPr>
              <w:pStyle w:val="Heading3"/>
            </w:pPr>
            <w:r>
              <w:rPr/>
              <w:t>Past Election Cycle (2014)</w:t>
            </w:r>
          </w:p>
          <w:p>
            <w:pPr>
              <w:pStyle w:val="Normal"/>
              <w:spacing w:after="200"/>
              <w:rPr>
                <w:b/>
              </w:rPr>
            </w:pPr>
            <w:r>
              <w:rPr>
                <w:b/>
              </w:rPr>
              <w:t>Auditor of State</w:t>
            </w:r>
            <w:r>
              <w:rPr/>
              <w:t>: Bob Bridges – 4.77%, 143363 votes</w:t>
            </w:r>
          </w:p>
          <w:p>
            <w:pPr>
              <w:pStyle w:val="Normal"/>
              <w:spacing w:after="200"/>
              <w:rPr>
                <w:b/>
              </w:rPr>
            </w:pPr>
            <w:r>
              <w:rPr>
                <w:b/>
              </w:rPr>
              <w:t>Secretary of State</w:t>
            </w:r>
            <w:r>
              <w:rPr/>
              <w:t>: Kevin Knedler – 4.67%, 141292 votes</w:t>
            </w:r>
          </w:p>
          <w:p>
            <w:pPr>
              <w:pStyle w:val="Normal"/>
              <w:spacing w:after="200"/>
              <w:rPr>
                <w:b/>
              </w:rPr>
            </w:pPr>
            <w:r>
              <w:rPr>
                <w:b/>
              </w:rPr>
              <w:t>US House District 5</w:t>
            </w:r>
            <w:r>
              <w:rPr/>
              <w:t>: Eric Eberly – 4.62%, 9344 votes</w:t>
            </w:r>
          </w:p>
          <w:p>
            <w:pPr>
              <w:pStyle w:val="Normal"/>
              <w:spacing w:after="200"/>
              <w:rPr>
                <w:b/>
              </w:rPr>
            </w:pPr>
            <w:r>
              <w:rPr>
                <w:b/>
              </w:rPr>
              <w:t>US House District 10</w:t>
            </w:r>
            <w:r>
              <w:rPr/>
              <w:t>: David Harlow – 3.29%, 6605 votes</w:t>
            </w:r>
          </w:p>
          <w:p>
            <w:pPr>
              <w:pStyle w:val="Normal"/>
              <w:spacing w:after="200"/>
              <w:rPr>
                <w:b/>
              </w:rPr>
            </w:pPr>
            <w:r>
              <w:rPr>
                <w:b/>
              </w:rPr>
              <w:t>US House District 14</w:t>
            </w:r>
            <w:r>
              <w:rPr/>
              <w:t>: David Macko – 3.72%, 7988 votes</w:t>
            </w:r>
          </w:p>
          <w:p>
            <w:pPr>
              <w:pStyle w:val="Normal"/>
              <w:spacing w:after="200"/>
              <w:rPr>
                <w:b/>
              </w:rPr>
            </w:pPr>
            <w:r>
              <w:rPr>
                <w:b/>
              </w:rPr>
              <w:t>State House District 19</w:t>
            </w:r>
            <w:r>
              <w:rPr/>
              <w:t>: Chad Monnin – 8.31%, 3253 votes</w:t>
            </w:r>
          </w:p>
          <w:p>
            <w:pPr>
              <w:pStyle w:val="Normal"/>
              <w:spacing w:after="200"/>
              <w:rPr>
                <w:b/>
              </w:rPr>
            </w:pPr>
            <w:r>
              <w:rPr>
                <w:b/>
              </w:rPr>
              <w:t>State House District 24</w:t>
            </w:r>
            <w:r>
              <w:rPr/>
              <w:t>: Mark Noble – 5.08%, 2032 votes</w:t>
            </w:r>
          </w:p>
          <w:p>
            <w:pPr>
              <w:pStyle w:val="Normal"/>
              <w:spacing w:after="200"/>
              <w:rPr>
                <w:b/>
              </w:rPr>
            </w:pPr>
            <w:r>
              <w:rPr>
                <w:b/>
              </w:rPr>
              <w:t>State House District 31</w:t>
            </w:r>
            <w:r>
              <w:rPr/>
              <w:t>: Queen Noble – 3.27%, 887 votes</w:t>
            </w:r>
          </w:p>
          <w:p>
            <w:pPr>
              <w:pStyle w:val="Normal"/>
              <w:spacing w:after="200"/>
              <w:rPr>
                <w:b/>
              </w:rPr>
            </w:pPr>
            <w:r>
              <w:rPr>
                <w:b/>
              </w:rPr>
              <w:t>State House District 57</w:t>
            </w:r>
            <w:r>
              <w:rPr/>
              <w:t>: Robert Sherwin – 5.31%, 1701 votes</w:t>
            </w:r>
          </w:p>
          <w:p>
            <w:pPr>
              <w:pStyle w:val="Normal"/>
              <w:spacing w:after="200"/>
              <w:rPr>
                <w:b/>
              </w:rPr>
            </w:pPr>
            <w:r>
              <w:rPr>
                <w:b/>
              </w:rPr>
              <w:t>State House District 62</w:t>
            </w:r>
            <w:r>
              <w:rPr/>
              <w:t>: Scott Pettigrew – 5.96%, 1918 votes</w:t>
            </w:r>
          </w:p>
          <w:p>
            <w:pPr>
              <w:pStyle w:val="Normal"/>
              <w:spacing w:after="200"/>
            </w:pPr>
            <w:r>
              <w:rPr>
                <w:b/>
              </w:rPr>
              <w:t>State House District 97</w:t>
            </w:r>
            <w:r>
              <w:rPr/>
              <w:t>: Nelson Roe – 25.28%, 7018 votes</w:t>
            </w:r>
          </w:p>
        </w:tc>
        <w:tc>
          <w:tcPr>
            <w:vAlign w:val="top"/>
            <w:tcW w:w="197" w:type="dxa"/>
          </w:tcPr>
          <w:p>
            <w:pPr>
              <w:pStyle w:val="Normal"/>
            </w:pPr>
          </w:p>
        </w:tc>
      </w:tr>
    </w:tbl>
    <w:p>
      <w:pPr>
        <w:pStyle w:val="Heading2"/>
      </w:pPr>
      <w:r>
        <w:rPr/>
        <w:t>Ballot Access</w:t>
      </w:r>
    </w:p>
    <w:p>
      <w:pPr>
        <w:pStyle w:val="Heading3"/>
      </w:pPr>
      <w:r>
        <w:rPr/>
        <w:t>Recent Ballot Access Activity</w:t>
      </w:r>
    </w:p>
    <w:p>
      <w:pPr>
        <w:pStyle w:val="Normal"/>
      </w:pPr>
      <w:r>
        <w:rPr/>
        <w:t>In 2014, Governor candidate Charlie Earl and Attorney General candidate Stephen Linnabary were removed from the ballot by the Secretary of State after petitioning to appear on the November general election ballot. As a result of SB 193 in Ohio, the Governor's race is the ballot test race for maintaining ballot access. Without a candidate, ballot access was not retained.</w:t>
      </w:r>
      <w:r>
        <w:rPr>
          <w:color w:val="000000"/>
        </w:rPr>
        <w:t xml:space="preserve"> SB 193 set high barriers for alternative parties to get their candidates on the ballot and to retain access once they obtain it. It also bars parties new to the ballot from holding primaries, which under Ohio law is the only way a voter may become recognized as a member of any political party. SB 193 set a threshold of 2% of the vote for governor in th3 2014 election for an alternative party to retain access. In future years, that figure would rise to 3% of the vote for president in presidential years or for governor in the years in which that office is elected. </w:t>
      </w:r>
    </w:p>
    <w:p>
      <w:pPr>
        <w:pStyle w:val="Heading3"/>
        <w:rPr>
          <w:rFonts w:ascii="Corbel" w:hAnsi="Corbel"/>
          <w:sz w:val="20"/>
          <w:szCs w:val="20"/>
        </w:rPr>
      </w:pPr>
      <w:r>
        <w:rPr/>
        <w:t>Upcoming Ballot Access Activity</w:t>
      </w:r>
    </w:p>
    <w:p>
      <w:pPr>
        <w:pStyle w:val="Normal"/>
        <w:spacing w:line="240" w:lineRule="atLeast"/>
      </w:pPr>
      <w:r>
        <w:rPr/>
        <w:t>The LPO is currently petitioning for 2018 party status on the ballot. See ballot access report for greater detail on these activites.</w:t>
      </w:r>
    </w:p>
    <w:p>
      <w:pPr>
        <w:pStyle w:val="Normal"/>
        <w:spacing w:line="240" w:lineRule="atLeast"/>
      </w:pPr>
      <w:r>
        <w:rPr/>
        <w:t>Members of the committee that petitioned to place the Johnson/Weld ticke</w:t>
      </w:r>
      <w:r>
        <w:rPr>
          <w:color w:val="000000"/>
        </w:rPr>
        <w:t>t on the ballot filed paperwork with the office of Secretary of State Jon Husted claiming party status and ballot access for the next four years. If successful, this effort will place LPO candidates in 2017 on primary ballots for consideration by the public.</w:t>
      </w:r>
    </w:p>
    <w:p>
      <w:pPr>
        <w:pStyle w:val="Heading2"/>
      </w:pPr>
      <w:r>
        <w:rPr/>
        <w:t>Activities</w:t>
      </w:r>
    </w:p>
    <w:p>
      <w:pPr>
        <w:pStyle w:val="Heading3"/>
      </w:pPr>
      <w:r>
        <w:rPr/>
        <w:t>State Level Activities</w:t>
      </w:r>
    </w:p>
    <w:p>
      <w:pPr>
        <w:pStyle w:val="Heading4"/>
      </w:pPr>
      <w:r>
        <w:rPr/>
        <w:t>2017 CONference scheduled</w:t>
      </w:r>
    </w:p>
    <w:p>
      <w:pPr>
        <w:pStyle w:val="BodyText"/>
      </w:pPr>
      <w:r>
        <w:rPr/>
        <w:t>The LPO has scheduled a conference for May4-5, 2017</w:t>
      </w:r>
    </w:p>
    <w:p>
      <w:pPr>
        <w:pStyle w:val="Heading4"/>
      </w:pPr>
      <w:r>
        <w:rPr/>
        <w:t>Annual LPO convention (2016)</w:t>
      </w:r>
    </w:p>
    <w:p>
      <w:pPr>
        <w:pStyle w:val="Normal"/>
      </w:pPr>
      <w:r>
        <w:rPr/>
        <w:t xml:space="preserve">In August, the LPO held their 2016 convention. </w:t>
      </w:r>
    </w:p>
    <w:p>
      <w:pPr>
        <w:pStyle w:val="Heading4"/>
      </w:pPr>
      <w:r>
        <w:rPr/>
        <w:t>Annual LPO Picnic</w:t>
      </w:r>
    </w:p>
    <w:p>
      <w:pPr>
        <w:pStyle w:val="Normal"/>
      </w:pPr>
      <w:r>
        <w:rPr/>
        <w:t>The LPO held its annual picnic on September 17</w:t>
      </w:r>
      <w:r>
        <w:rPr>
          <w:vertAlign w:val="superscript"/>
        </w:rPr>
        <w:t>th</w:t>
      </w:r>
      <w:r>
        <w:rPr/>
        <w:t xml:space="preserve">  at the Tiller Lane complex (where its offices are located).  The picnic is a family friendly event with plenty of food and drink, and typically features the always popular fundraiser, “pie in the face of your favorite LPO leader.”  The LPO has also used a “dunk tank for your LPO leaders” as a new fundraiser which also proved financially successful.  </w:t>
      </w:r>
    </w:p>
    <w:p>
      <w:pPr>
        <w:pStyle w:val="Heading3"/>
      </w:pPr>
      <w:r>
        <w:rPr/>
        <w:t>Local Level Activities</w:t>
      </w:r>
    </w:p>
    <w:p>
      <w:pPr>
        <w:pStyle w:val="Heading4"/>
      </w:pPr>
      <w:r>
        <w:rPr/>
        <w:t>County Fairs</w:t>
      </w:r>
    </w:p>
    <w:p>
      <w:pPr>
        <w:pStyle w:val="Normal"/>
      </w:pPr>
      <w:r>
        <w:rPr/>
        <w:t>The local affiliates had a presence at 5 county fairs (at least), all with very good attendance and successful outreach for new volunteers.</w:t>
      </w:r>
    </w:p>
    <w:p>
      <w:pPr>
        <w:pStyle w:val="Heading4"/>
      </w:pPr>
      <w:r>
        <w:rPr/>
        <w:t>Upcoming Training and Team Building</w:t>
      </w:r>
    </w:p>
    <w:p>
      <w:pPr>
        <w:pStyle w:val="Normal"/>
      </w:pPr>
      <w:r>
        <w:rPr/>
        <w:t>The LPO plans to ramp up its local and regional team meetings with training and team building to continue the upward trend in county affiliate formation and local activism.</w:t>
      </w:r>
    </w:p>
    <w:p>
      <w:pPr>
        <w:pStyle w:val="Heading2"/>
      </w:pPr>
      <w:r>
        <w:rPr/>
        <w:t>Finances &amp; Fundraising</w:t>
      </w:r>
    </w:p>
    <w:p>
      <w:pPr>
        <w:pStyle w:val="Normal"/>
        <w:spacing w:after="200"/>
      </w:pPr>
      <w:r>
        <w:rPr/>
        <w:t>Nothing to note</w:t>
      </w:r>
    </w:p>
    <w:p>
      <w:pPr>
        <w:pStyle w:val="Heading2"/>
        <w:rPr>
          <w:color w:val="000000"/>
        </w:rPr>
      </w:pPr>
      <w:r>
        <w:rPr/>
        <w:t>Media Coverage</w:t>
      </w:r>
    </w:p>
    <w:p>
      <w:pPr>
        <w:pStyle w:val="Normal"/>
        <w:spacing w:after="200"/>
      </w:pPr>
      <w:r>
        <w:rPr>
          <w:rStyle w:val="Hyperlink"/>
          <w:color w:val="000000"/>
        </w:rPr>
        <w:t>Nothing to note</w:t>
      </w:r>
    </w:p>
    <w:p>
      <w:pPr>
        <w:pStyle w:val="Heading2"/>
      </w:pPr>
      <w:r>
        <w:rPr/>
        <w:t>Information Technology</w:t>
      </w:r>
    </w:p>
    <w:p>
      <w:pPr>
        <w:pStyle w:val="Normal"/>
      </w:pPr>
      <w:r>
        <w:rPr/>
        <w:t>The LPO upgraded their website and database to the Libertas platform in 2013.</w:t>
      </w:r>
    </w:p>
    <w:p>
      <w:pPr>
        <w:pStyle w:val="Heading2"/>
      </w:pPr>
      <w:r>
        <w:rPr/>
        <w:t>Other</w:t>
      </w:r>
    </w:p>
    <w:p>
      <w:pPr>
        <w:pStyle w:val="Normal"/>
      </w:pPr>
      <w:r>
        <w:rPr/>
        <w:t>Nothing to note</w:t>
      </w:r>
    </w:p>
    <w:sectPr>
      <w:pgSz w:w="12240" w:h="15840"/>
      <w:pgMar w:left="1080" w:right="1080" w:top="720" w:bottom="630"/>
      <w:type w:val="continuous"/>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Trajan Pro"/>
  <w:font w:name="Corbel"/>
  <w:font w:name="Helvetica"/>
  <w:font w:name="Trebuchet MS"/>
  <w:font w:name="Cambria"/>
  <w:font w:name="Calibri"/>
  <w:font w:name="SimSun"/>
  <w:font w:name="Courier New"/>
  <w:font w:name="Wingdings"/>
  <w:font w:name="Tahoma"/>
  <w:font w:name="OpenSymbol"/>
  <w:font w:name="Microsoft YaHei"/>
  <w:font w:name="Mangal"/>
  <w:font w:name="Cambria Math"/>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Normal"/>
    </w:pPr>
  </w:p>
</w:hdr>
</file>

<file path=word/foot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p>
    <w:pPr>
      <w:pStyle w:val="NoSpacing"/>
    </w:pPr>
  </w:p>
</w:hdr>
</file>

<file path=word/foot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Normal"/>
    </w:pPr>
  </w:p>
</w:hd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ReportName"/>
    </w:pPr>
    <w:r>
      <w:rPr>
        <w:noProof/>
      </w:rPr>
      <w:drawing>
        <wp:anchor distT="0" distB="0" distL="0" distR="0" simplePos="0" relativeHeight="251658240" behindDoc="0" locked="0" layoutInCell="1" allowOverlap="1" wp14:anchorId="7DEABBC1" wp14:editId="3131C523">
          <wp:simplePos x="0" y="0"/>
          <wp:positionH relativeFrom="column">
            <wp:align>center</wp:align>
          </wp:positionH>
          <wp:positionV relativeFrom="paragraph">
            <wp:posOffset>0</wp:posOffset>
          </wp:positionV>
          <wp:extent cx="174625" cy="4006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0"/>
                  <a:stretch>
                    <a:fillRect/>
                  </a:stretch>
                </pic:blipFill>
                <pic:spPr bwMode="auto">
                  <a:xfrm>
                    <a:off x="0" y="0"/>
                    <a:ext cx="174625" cy="400685"/>
                  </a:xfrm>
                  <a:prstGeom prst="rect">
                    <a:avLst/>
                  </a:prstGeom>
                  <a:noFill/>
                </pic:spPr>
              </pic:pic>
            </a:graphicData>
          </a:graphic>
        </wp:anchor>
      </w:drawing>
    </w:r>
    <w:r>
      <w:rPr/>
      <w:t xml:space="preserve">      | </w:t>
    </w:r>
    <w:fldSimple w:instr=" PAGE  \* MERGEFORMAT ">
      <w:r>
        <w:rPr/>
        <w:t>12</w:t>
      </w:r>
    </w:fldSimple>
  </w:p>
  <w:p>
    <w:pPr>
      <w:pStyle w:val="Normal"/>
    </w:pP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Normal"/>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
      <w:start w:val="0"/>
      <w:rPr/>
      <w:pPr>
        <w:ind w:left="432"/>
        <w:ind w:hanging="432"/>
      </w:pPr>
      <w:lvlJc w:val="left"/>
    </w:lvl>
    <w:lvl w:ilvl="1">
      <w:numFmt w:val="decimal"/>
      <w:lvlText w:val=""/>
      <w:start w:val="0"/>
      <w:rPr/>
      <w:pPr>
        <w:ind w:left="576"/>
        <w:ind w:hanging="576"/>
      </w:pPr>
      <w:lvlJc w:val="left"/>
    </w:lvl>
    <w:lvl w:ilvl="2">
      <w:numFmt w:val="decimal"/>
      <w:lvlText w:val=""/>
      <w:start w:val="0"/>
      <w:rPr/>
      <w:pPr>
        <w:ind w:left="720"/>
        <w:ind w:hanging="720"/>
      </w:pPr>
      <w:lvlJc w:val="left"/>
    </w:lvl>
    <w:lvl w:ilvl="3">
      <w:numFmt w:val="decimal"/>
      <w:lvlText w:val=""/>
      <w:start w:val="0"/>
      <w:rPr/>
      <w:pPr>
        <w:ind w:left="864"/>
        <w:ind w:hanging="864"/>
      </w:pPr>
      <w:lvlJc w:val="left"/>
    </w:lvl>
    <w:lvl w:ilvl="4">
      <w:numFmt w:val="decimal"/>
      <w:lvlText w:val=""/>
      <w:start w:val="0"/>
      <w:rPr/>
      <w:pPr>
        <w:ind w:left="1008"/>
        <w:ind w:hanging="1008"/>
      </w:pPr>
      <w:lvlJc w:val="left"/>
    </w:lvl>
    <w:lvl w:ilvl="5">
      <w:numFmt w:val="decimal"/>
      <w:lvlText w:val=""/>
      <w:start w:val="0"/>
      <w:rPr/>
      <w:pPr>
        <w:ind w:left="1152"/>
        <w:ind w:hanging="1152"/>
      </w:pPr>
      <w:lvlJc w:val="left"/>
    </w:lvl>
    <w:lvl w:ilvl="6">
      <w:numFmt w:val="decimal"/>
      <w:lvlText w:val=""/>
      <w:start w:val="0"/>
      <w:rPr/>
      <w:pPr>
        <w:ind w:left="1296"/>
        <w:ind w:hanging="1296"/>
      </w:pPr>
      <w:lvlJc w:val="left"/>
    </w:lvl>
    <w:lvl w:ilvl="7">
      <w:numFmt w:val="decimal"/>
      <w:lvlText w:val=""/>
      <w:start w:val="0"/>
      <w:rPr/>
      <w:pPr>
        <w:ind w:left="1440"/>
        <w:ind w:hanging="1440"/>
      </w:pPr>
      <w:lvlJc w:val="left"/>
    </w:lvl>
    <w:lvl w:ilvl="8">
      <w:numFmt w:val="decimal"/>
      <w:lvlText w:val=""/>
      <w:start w:val="0"/>
      <w:rPr/>
      <w:pPr>
        <w:ind w:left="1584"/>
        <w:ind w:hanging="1584"/>
      </w:pPr>
      <w:lvlJc w:val="left"/>
    </w:lvl>
  </w:abstractNum>
  <w:abstractNum w:abstractNumId="2">
    <w:multiLevelType w:val="hybridMultilevel"/>
    <w:lvl w:ilvl="0">
      <w:numFmt w:val="decimal"/>
      <w:lvlText w:val=""/>
      <w:start w:val="0"/>
      <w:rPr>
        <w:color w:val="800000"/>
        <w:rFonts w:ascii="Symbol" w:hAnsi="Symbol"/>
      </w:rPr>
      <w:pPr>
        <w:ind w:left="432"/>
        <w:ind w:hanging="432"/>
      </w:pPr>
      <w:lvlJc w:val="left"/>
    </w:lvl>
    <w:lvl w:ilvl="1">
      <w:numFmt w:val="decimal"/>
      <w:lvlText w:val=""/>
      <w:start w:val="0"/>
      <w:rPr>
        <w:rFonts w:ascii="Courier New" w:hAnsi="Courier New"/>
      </w:rPr>
      <w:pPr>
        <w:ind w:left="576"/>
        <w:ind w:hanging="576"/>
      </w:pPr>
      <w:lvlJc w:val="left"/>
    </w:lvl>
    <w:lvl w:ilvl="2">
      <w:numFmt w:val="decimal"/>
      <w:lvlText w:val=""/>
      <w:start w:val="0"/>
      <w:rPr>
        <w:rFonts w:ascii="Wingdings" w:hAnsi="Wingdings"/>
      </w:rPr>
      <w:pPr>
        <w:ind w:left="720"/>
        <w:ind w:hanging="720"/>
      </w:pPr>
      <w:lvlJc w:val="left"/>
    </w:lvl>
    <w:lvl w:ilvl="3">
      <w:numFmt w:val="decimal"/>
      <w:lvlText w:val=""/>
      <w:start w:val="0"/>
      <w:rPr/>
      <w:pPr>
        <w:ind w:left="864"/>
        <w:ind w:hanging="864"/>
      </w:pPr>
      <w:lvlJc w:val="left"/>
    </w:lvl>
    <w:lvl w:ilvl="4">
      <w:numFmt w:val="decimal"/>
      <w:lvlText w:val=""/>
      <w:start w:val="0"/>
      <w:rPr/>
      <w:pPr>
        <w:ind w:left="1008"/>
        <w:ind w:hanging="1008"/>
      </w:pPr>
      <w:lvlJc w:val="left"/>
    </w:lvl>
    <w:lvl w:ilvl="5">
      <w:numFmt w:val="decimal"/>
      <w:lvlText w:val=""/>
      <w:start w:val="0"/>
      <w:rPr/>
      <w:pPr>
        <w:ind w:left="1152"/>
        <w:ind w:hanging="1152"/>
      </w:pPr>
      <w:lvlJc w:val="left"/>
    </w:lvl>
    <w:lvl w:ilvl="6">
      <w:numFmt w:val="decimal"/>
      <w:lvlText w:val=""/>
      <w:start w:val="0"/>
      <w:rPr/>
      <w:pPr>
        <w:ind w:left="1296"/>
        <w:ind w:hanging="1296"/>
      </w:pPr>
      <w:lvlJc w:val="left"/>
    </w:lvl>
    <w:lvl w:ilvl="7">
      <w:numFmt w:val="decimal"/>
      <w:lvlText w:val=""/>
      <w:start w:val="0"/>
      <w:rPr/>
      <w:pPr>
        <w:ind w:left="1440"/>
        <w:ind w:hanging="1440"/>
      </w:pPr>
      <w:lvlJc w:val="left"/>
    </w:lvl>
    <w:lvl w:ilvl="8">
      <w:numFmt w:val="decimal"/>
      <w:lvlText w:val=""/>
      <w:start w:val="0"/>
      <w:rPr/>
      <w:pPr>
        <w:ind w:left="1584"/>
        <w:ind w:hanging="1584"/>
      </w:pPr>
      <w:lvlJc w:val="left"/>
    </w:lvl>
  </w:abstractNum>
  <w:abstractNum w:abstractNumId="3">
    <w:multiLevelType w:val="hybridMultilevel"/>
    <w:lvl w:ilvl="0">
      <w:numFmt w:val="bullet"/>
      <w:lvlText w:val=""/>
      <w:start w:val="0"/>
      <w:rPr>
        <w:color w:val="800000"/>
        <w:rFonts w:ascii="Symbol" w:hAnsi="Symbol"/>
      </w:rPr>
      <w:pPr>
        <w:ind w:left="720"/>
        <w:ind w:hanging="360"/>
      </w:pPr>
      <w:lvlJc w:val="left"/>
    </w:lvl>
    <w:lvl w:ilvl="1">
      <w:numFmt w:val="bullet"/>
      <w:lvlText w:val="o"/>
      <w:start w:val="0"/>
      <w:rPr>
        <w:rFonts w:ascii="Courier New" w:hAnsi="Courier New"/>
      </w:rPr>
      <w:pPr>
        <w:ind w:left="1440"/>
        <w:ind w:hanging="360"/>
      </w:pPr>
      <w:lvlJc w:val="left"/>
    </w:lvl>
    <w:lvl w:ilvl="2">
      <w:numFmt w:val="bullet"/>
      <w:lvlText w:val=""/>
      <w:start w:val="0"/>
      <w:rPr>
        <w:rFonts w:ascii="Wingdings" w:hAnsi="Wingdings"/>
      </w:rPr>
      <w:pPr>
        <w:ind w:left="2160"/>
        <w:ind w:hanging="360"/>
      </w:pPr>
      <w:lvlJc w:val="left"/>
    </w:lvl>
    <w:lvl w:ilvl="3">
      <w:numFmt w:val="bullet"/>
      <w:lvlText w:val=""/>
      <w:start w:val="0"/>
      <w:rPr>
        <w:color w:val="800000"/>
        <w:rFonts w:ascii="Symbol" w:hAnsi="Symbol"/>
      </w:rPr>
      <w:pPr>
        <w:ind w:left="2880"/>
        <w:ind w:hanging="360"/>
      </w:pPr>
      <w:lvlJc w:val="left"/>
    </w:lvl>
    <w:lvl w:ilvl="4">
      <w:numFmt w:val="bullet"/>
      <w:lvlText w:val="o"/>
      <w:start w:val="0"/>
      <w:rPr>
        <w:rFonts w:ascii="Courier New" w:hAnsi="Courier New"/>
      </w:rPr>
      <w:pPr>
        <w:ind w:left="3600"/>
        <w:ind w:hanging="360"/>
      </w:pPr>
      <w:lvlJc w:val="left"/>
    </w:lvl>
    <w:lvl w:ilvl="5">
      <w:numFmt w:val="bullet"/>
      <w:lvlText w:val=""/>
      <w:start w:val="0"/>
      <w:rPr>
        <w:rFonts w:ascii="Wingdings" w:hAnsi="Wingdings"/>
      </w:rPr>
      <w:pPr>
        <w:ind w:left="4320"/>
        <w:ind w:hanging="360"/>
      </w:pPr>
      <w:lvlJc w:val="left"/>
    </w:lvl>
    <w:lvl w:ilvl="6">
      <w:numFmt w:val="bullet"/>
      <w:lvlText w:val=""/>
      <w:start w:val="0"/>
      <w:rPr>
        <w:color w:val="800000"/>
        <w:rFonts w:ascii="Symbol" w:hAnsi="Symbol"/>
      </w:rPr>
      <w:pPr>
        <w:ind w:left="5040"/>
        <w:ind w:hanging="360"/>
      </w:pPr>
      <w:lvlJc w:val="left"/>
    </w:lvl>
    <w:lvl w:ilvl="7">
      <w:numFmt w:val="bullet"/>
      <w:lvlText w:val="o"/>
      <w:start w:val="0"/>
      <w:rPr>
        <w:rFonts w:ascii="Courier New" w:hAnsi="Courier New"/>
      </w:rPr>
      <w:pPr>
        <w:ind w:left="5760"/>
        <w:ind w:hanging="360"/>
      </w:pPr>
      <w:lvlJc w:val="left"/>
    </w:lvl>
    <w:lvl w:ilvl="8">
      <w:numFmt w:val="bullet"/>
      <w:lvlText w:val=""/>
      <w:start w:val="0"/>
      <w:rPr>
        <w:rFonts w:ascii="Wingdings" w:hAnsi="Wingdings"/>
      </w:rPr>
      <w:pPr>
        <w:ind w:left="6480"/>
        <w:ind w:hanging="360"/>
      </w:pPr>
      <w:lvlJc w:val="left"/>
    </w:lvl>
  </w:abstractNum>
  <w:abstractNum w:abstractNumId="4">
    <w:multiLevelType w:val="hybridMultilevel"/>
    <w:lvl w:ilvl="0">
      <w:numFmt w:val="bullet"/>
      <w:lvlText w:val=""/>
      <w:start w:val="0"/>
      <w:rPr>
        <w:rFonts w:ascii="Symbol" w:hAnsi="Symbol"/>
      </w:rPr>
      <w:pPr>
        <w:ind w:left="720"/>
        <w:ind w:hanging="360"/>
      </w:pPr>
      <w:lvlJc w:val="left"/>
    </w:lvl>
    <w:lvl w:ilvl="1">
      <w:numFmt w:val="bullet"/>
      <w:lvlText w:val="o"/>
      <w:start w:val="0"/>
      <w:rPr>
        <w:rFonts w:ascii="Courier New" w:hAnsi="Courier New"/>
      </w:rPr>
      <w:pPr>
        <w:ind w:left="1440"/>
        <w:ind w:hanging="360"/>
      </w:pPr>
      <w:lvlJc w:val="left"/>
    </w:lvl>
    <w:lvl w:ilvl="2">
      <w:numFmt w:val="bullet"/>
      <w:lvlText w:val=""/>
      <w:start w:val="0"/>
      <w:rPr>
        <w:rFonts w:ascii="Wingdings" w:hAnsi="Wingdings"/>
      </w:rPr>
      <w:pPr>
        <w:ind w:left="2160"/>
        <w:ind w:hanging="360"/>
      </w:pPr>
      <w:lvlJc w:val="left"/>
    </w:lvl>
    <w:lvl w:ilvl="3">
      <w:numFmt w:val="bullet"/>
      <w:lvlText w:val=""/>
      <w:start w:val="0"/>
      <w:rPr>
        <w:rFonts w:ascii="Symbol" w:hAnsi="Symbol"/>
      </w:rPr>
      <w:pPr>
        <w:ind w:left="2880"/>
        <w:ind w:hanging="360"/>
      </w:pPr>
      <w:lvlJc w:val="left"/>
    </w:lvl>
    <w:lvl w:ilvl="4">
      <w:numFmt w:val="bullet"/>
      <w:lvlText w:val="o"/>
      <w:start w:val="0"/>
      <w:rPr>
        <w:rFonts w:ascii="Courier New" w:hAnsi="Courier New"/>
      </w:rPr>
      <w:pPr>
        <w:ind w:left="3600"/>
        <w:ind w:hanging="360"/>
      </w:pPr>
      <w:lvlJc w:val="left"/>
    </w:lvl>
    <w:lvl w:ilvl="5">
      <w:numFmt w:val="bullet"/>
      <w:lvlText w:val=""/>
      <w:start w:val="0"/>
      <w:rPr>
        <w:rFonts w:ascii="Wingdings" w:hAnsi="Wingdings"/>
      </w:rPr>
      <w:pPr>
        <w:ind w:left="4320"/>
        <w:ind w:hanging="360"/>
      </w:pPr>
      <w:lvlJc w:val="left"/>
    </w:lvl>
    <w:lvl w:ilvl="6">
      <w:numFmt w:val="bullet"/>
      <w:lvlText w:val=""/>
      <w:start w:val="0"/>
      <w:rPr>
        <w:rFonts w:ascii="Symbol" w:hAnsi="Symbol"/>
      </w:rPr>
      <w:pPr>
        <w:ind w:left="5040"/>
        <w:ind w:hanging="360"/>
      </w:pPr>
      <w:lvlJc w:val="left"/>
    </w:lvl>
    <w:lvl w:ilvl="7">
      <w:numFmt w:val="bullet"/>
      <w:lvlText w:val="o"/>
      <w:start w:val="0"/>
      <w:rPr>
        <w:rFonts w:ascii="Courier New" w:hAnsi="Courier New"/>
      </w:rPr>
      <w:pPr>
        <w:ind w:left="5760"/>
        <w:ind w:hanging="360"/>
      </w:pPr>
      <w:lvlJc w:val="left"/>
    </w:lvl>
    <w:lvl w:ilvl="8">
      <w:numFmt w:val="bullet"/>
      <w:lvlText w:val=""/>
      <w:start w:val="0"/>
      <w:rPr>
        <w:rFonts w:ascii="Wingdings" w:hAnsi="Wingdings"/>
      </w:rPr>
      <w:pPr>
        <w:ind w:left="6480"/>
        <w:ind w:hanging="360"/>
      </w:pPr>
      <w:lvlJc w:val="left"/>
    </w:lvl>
  </w:abstractNum>
  <w:abstractNum w:abstractNumId="5">
    <w:multiLevelType w:val="hybridMultilevel"/>
    <w:lvl w:ilvl="0">
      <w:numFmt w:val="bullet"/>
      <w:lvlText w:val=""/>
      <w:start w:val="0"/>
      <w:rPr>
        <w:rFonts w:ascii="Symbol" w:hAnsi="Symbol"/>
      </w:rPr>
      <w:pPr>
        <w:ind w:left="720"/>
        <w:ind w:hanging="360"/>
      </w:pPr>
      <w:lvlJc w:val="left"/>
    </w:lvl>
    <w:lvl w:ilvl="1">
      <w:numFmt w:val="bullet"/>
      <w:lvlText w:val="o"/>
      <w:start w:val="0"/>
      <w:rPr>
        <w:rFonts w:ascii="Courier New" w:hAnsi="Courier New"/>
      </w:rPr>
      <w:pPr>
        <w:ind w:left="1440"/>
        <w:ind w:hanging="360"/>
      </w:pPr>
      <w:lvlJc w:val="left"/>
    </w:lvl>
    <w:lvl w:ilvl="2">
      <w:numFmt w:val="bullet"/>
      <w:lvlText w:val=""/>
      <w:start w:val="0"/>
      <w:rPr>
        <w:rFonts w:ascii="Wingdings" w:hAnsi="Wingdings"/>
      </w:rPr>
      <w:pPr>
        <w:ind w:left="2160"/>
        <w:ind w:hanging="360"/>
      </w:pPr>
      <w:lvlJc w:val="left"/>
    </w:lvl>
    <w:lvl w:ilvl="3">
      <w:numFmt w:val="bullet"/>
      <w:lvlText w:val=""/>
      <w:start w:val="0"/>
      <w:rPr>
        <w:rFonts w:ascii="Symbol" w:hAnsi="Symbol"/>
      </w:rPr>
      <w:pPr>
        <w:ind w:left="2880"/>
        <w:ind w:hanging="360"/>
      </w:pPr>
      <w:lvlJc w:val="left"/>
    </w:lvl>
    <w:lvl w:ilvl="4">
      <w:numFmt w:val="bullet"/>
      <w:lvlText w:val="o"/>
      <w:start w:val="0"/>
      <w:rPr>
        <w:rFonts w:ascii="Courier New" w:hAnsi="Courier New"/>
      </w:rPr>
      <w:pPr>
        <w:ind w:left="3600"/>
        <w:ind w:hanging="360"/>
      </w:pPr>
      <w:lvlJc w:val="left"/>
    </w:lvl>
    <w:lvl w:ilvl="5">
      <w:numFmt w:val="bullet"/>
      <w:lvlText w:val=""/>
      <w:start w:val="0"/>
      <w:rPr>
        <w:rFonts w:ascii="Wingdings" w:hAnsi="Wingdings"/>
      </w:rPr>
      <w:pPr>
        <w:ind w:left="4320"/>
        <w:ind w:hanging="360"/>
      </w:pPr>
      <w:lvlJc w:val="left"/>
    </w:lvl>
    <w:lvl w:ilvl="6">
      <w:numFmt w:val="bullet"/>
      <w:lvlText w:val=""/>
      <w:start w:val="0"/>
      <w:rPr>
        <w:rFonts w:ascii="Symbol" w:hAnsi="Symbol"/>
      </w:rPr>
      <w:pPr>
        <w:ind w:left="5040"/>
        <w:ind w:hanging="360"/>
      </w:pPr>
      <w:lvlJc w:val="left"/>
    </w:lvl>
    <w:lvl w:ilvl="7">
      <w:numFmt w:val="bullet"/>
      <w:lvlText w:val="o"/>
      <w:start w:val="0"/>
      <w:rPr>
        <w:rFonts w:ascii="Courier New" w:hAnsi="Courier New"/>
      </w:rPr>
      <w:pPr>
        <w:ind w:left="5760"/>
        <w:ind w:hanging="360"/>
      </w:pPr>
      <w:lvlJc w:val="left"/>
    </w:lvl>
    <w:lvl w:ilvl="8">
      <w:numFmt w:val="bullet"/>
      <w:lvlText w:val=""/>
      <w:start w:val="0"/>
      <w:rPr>
        <w:rFonts w:ascii="Wingdings" w:hAnsi="Wingdings"/>
      </w:rPr>
      <w:pPr>
        <w:ind w:left="6480"/>
        <w:ind w:hanging="360"/>
      </w:pPr>
      <w:lvlJc w:val="left"/>
    </w:lvl>
  </w:abstractNum>
  <w:abstractNum w:abstractNumId="6">
    <w:multiLevelType w:val="hybridMultilevel"/>
    <w:lvl w:ilvl="0">
      <w:numFmt w:val="bullet"/>
      <w:lvlText w:val=""/>
      <w:start w:val="0"/>
      <w:rPr>
        <w:rFonts w:ascii="Symbol" w:hAnsi="Symbol"/>
      </w:rPr>
      <w:pPr>
        <w:ind w:left="720"/>
        <w:ind w:hanging="360"/>
      </w:pPr>
      <w:lvlJc w:val="left"/>
    </w:lvl>
    <w:lvl w:ilvl="1">
      <w:numFmt w:val="bullet"/>
      <w:lvlText w:val="o"/>
      <w:start w:val="0"/>
      <w:rPr>
        <w:rFonts w:ascii="Courier New" w:hAnsi="Courier New"/>
      </w:rPr>
      <w:pPr>
        <w:ind w:left="1440"/>
        <w:ind w:hanging="360"/>
      </w:pPr>
      <w:lvlJc w:val="left"/>
    </w:lvl>
    <w:lvl w:ilvl="2">
      <w:numFmt w:val="bullet"/>
      <w:lvlText w:val=""/>
      <w:start w:val="0"/>
      <w:rPr>
        <w:rFonts w:ascii="Wingdings" w:hAnsi="Wingdings"/>
      </w:rPr>
      <w:pPr>
        <w:ind w:left="2160"/>
        <w:ind w:hanging="360"/>
      </w:pPr>
      <w:lvlJc w:val="left"/>
    </w:lvl>
    <w:lvl w:ilvl="3">
      <w:numFmt w:val="bullet"/>
      <w:lvlText w:val=""/>
      <w:start w:val="0"/>
      <w:rPr>
        <w:rFonts w:ascii="Symbol" w:hAnsi="Symbol"/>
      </w:rPr>
      <w:pPr>
        <w:ind w:left="2880"/>
        <w:ind w:hanging="360"/>
      </w:pPr>
      <w:lvlJc w:val="left"/>
    </w:lvl>
    <w:lvl w:ilvl="4">
      <w:numFmt w:val="bullet"/>
      <w:lvlText w:val="o"/>
      <w:start w:val="0"/>
      <w:rPr>
        <w:rFonts w:ascii="Courier New" w:hAnsi="Courier New"/>
      </w:rPr>
      <w:pPr>
        <w:ind w:left="3600"/>
        <w:ind w:hanging="360"/>
      </w:pPr>
      <w:lvlJc w:val="left"/>
    </w:lvl>
    <w:lvl w:ilvl="5">
      <w:numFmt w:val="bullet"/>
      <w:lvlText w:val=""/>
      <w:start w:val="0"/>
      <w:rPr>
        <w:rFonts w:ascii="Wingdings" w:hAnsi="Wingdings"/>
      </w:rPr>
      <w:pPr>
        <w:ind w:left="4320"/>
        <w:ind w:hanging="360"/>
      </w:pPr>
      <w:lvlJc w:val="left"/>
    </w:lvl>
    <w:lvl w:ilvl="6">
      <w:numFmt w:val="bullet"/>
      <w:lvlText w:val=""/>
      <w:start w:val="0"/>
      <w:rPr>
        <w:rFonts w:ascii="Symbol" w:hAnsi="Symbol"/>
      </w:rPr>
      <w:pPr>
        <w:ind w:left="5040"/>
        <w:ind w:hanging="360"/>
      </w:pPr>
      <w:lvlJc w:val="left"/>
    </w:lvl>
    <w:lvl w:ilvl="7">
      <w:numFmt w:val="bullet"/>
      <w:lvlText w:val="o"/>
      <w:start w:val="0"/>
      <w:rPr>
        <w:rFonts w:ascii="Courier New" w:hAnsi="Courier New"/>
      </w:rPr>
      <w:pPr>
        <w:ind w:left="5760"/>
        <w:ind w:hanging="360"/>
      </w:pPr>
      <w:lvlJc w:val="left"/>
    </w:lvl>
    <w:lvl w:ilvl="8">
      <w:numFmt w:val="bullet"/>
      <w:lvlText w:val=""/>
      <w:start w:val="0"/>
      <w:rPr>
        <w:rFonts w:ascii="Wingdings" w:hAnsi="Wingdings"/>
      </w:rPr>
      <w:pPr>
        <w:ind w:left="6480"/>
        <w:ind w:hanging="360"/>
      </w:pPr>
      <w:lvlJc w:val="left"/>
    </w:lvl>
  </w:abstractNum>
  <w:abstractNum w:abstractNumId="7">
    <w:multiLevelType w:val="hybridMultilevel"/>
    <w:lvl w:ilvl="0">
      <w:numFmt w:val="bullet"/>
      <w:lvlText w:val=""/>
      <w:start w:val="0"/>
      <w:rPr>
        <w:rFonts w:ascii="Symbol" w:hAnsi="Symbol"/>
      </w:rPr>
      <w:pPr>
        <w:ind w:left="720"/>
        <w:ind w:hanging="360"/>
      </w:pPr>
      <w:lvlJc w:val="left"/>
    </w:lvl>
    <w:lvl w:ilvl="1">
      <w:numFmt w:val="bullet"/>
      <w:lvlText w:val="o"/>
      <w:start w:val="0"/>
      <w:rPr>
        <w:rFonts w:ascii="Courier New" w:hAnsi="Courier New"/>
      </w:rPr>
      <w:pPr>
        <w:ind w:left="1440"/>
        <w:ind w:hanging="360"/>
      </w:pPr>
      <w:lvlJc w:val="left"/>
    </w:lvl>
    <w:lvl w:ilvl="2">
      <w:numFmt w:val="bullet"/>
      <w:lvlText w:val=""/>
      <w:start w:val="0"/>
      <w:rPr>
        <w:rFonts w:ascii="Wingdings" w:hAnsi="Wingdings"/>
      </w:rPr>
      <w:pPr>
        <w:ind w:left="2160"/>
        <w:ind w:hanging="360"/>
      </w:pPr>
      <w:lvlJc w:val="left"/>
    </w:lvl>
    <w:lvl w:ilvl="3">
      <w:numFmt w:val="bullet"/>
      <w:lvlText w:val=""/>
      <w:start w:val="0"/>
      <w:rPr>
        <w:rFonts w:ascii="Symbol" w:hAnsi="Symbol"/>
      </w:rPr>
      <w:pPr>
        <w:ind w:left="2880"/>
        <w:ind w:hanging="360"/>
      </w:pPr>
      <w:lvlJc w:val="left"/>
    </w:lvl>
    <w:lvl w:ilvl="4">
      <w:numFmt w:val="bullet"/>
      <w:lvlText w:val="o"/>
      <w:start w:val="0"/>
      <w:rPr>
        <w:rFonts w:ascii="Courier New" w:hAnsi="Courier New"/>
      </w:rPr>
      <w:pPr>
        <w:ind w:left="3600"/>
        <w:ind w:hanging="360"/>
      </w:pPr>
      <w:lvlJc w:val="left"/>
    </w:lvl>
    <w:lvl w:ilvl="5">
      <w:numFmt w:val="bullet"/>
      <w:lvlText w:val=""/>
      <w:start w:val="0"/>
      <w:rPr>
        <w:rFonts w:ascii="Wingdings" w:hAnsi="Wingdings"/>
      </w:rPr>
      <w:pPr>
        <w:ind w:left="4320"/>
        <w:ind w:hanging="360"/>
      </w:pPr>
      <w:lvlJc w:val="left"/>
    </w:lvl>
    <w:lvl w:ilvl="6">
      <w:numFmt w:val="bullet"/>
      <w:lvlText w:val=""/>
      <w:start w:val="0"/>
      <w:rPr>
        <w:rFonts w:ascii="Symbol" w:hAnsi="Symbol"/>
      </w:rPr>
      <w:pPr>
        <w:ind w:left="5040"/>
        <w:ind w:hanging="360"/>
      </w:pPr>
      <w:lvlJc w:val="left"/>
    </w:lvl>
    <w:lvl w:ilvl="7">
      <w:numFmt w:val="bullet"/>
      <w:lvlText w:val="o"/>
      <w:start w:val="0"/>
      <w:rPr>
        <w:rFonts w:ascii="Courier New" w:hAnsi="Courier New"/>
      </w:rPr>
      <w:pPr>
        <w:ind w:left="5760"/>
        <w:ind w:hanging="360"/>
      </w:pPr>
      <w:lvlJc w:val="left"/>
    </w:lvl>
    <w:lvl w:ilvl="8">
      <w:numFmt w:val="bullet"/>
      <w:lvlText w:val=""/>
      <w:start w:val="0"/>
      <w:rPr>
        <w:rFonts w:ascii="Wingdings" w:hAnsi="Wingdings"/>
      </w:rPr>
      <w:pPr>
        <w:ind w:left="6480"/>
        <w:ind w:hanging="360"/>
      </w:pPr>
      <w:lvlJc w:val="left"/>
    </w:lvl>
  </w:abstractNum>
  <w:abstractNum w:abstractNumId="8">
    <w:multiLevelType w:val="hybridMultilevel"/>
    <w:lvl w:ilvl="0">
      <w:numFmt w:val="bullet"/>
      <w:lvlText w:val=""/>
      <w:start w:val="0"/>
      <w:rPr>
        <w:rFonts w:ascii="Symbol" w:hAnsi="Symbol"/>
      </w:rPr>
      <w:pPr>
        <w:ind w:left="720"/>
        <w:ind w:hanging="360"/>
      </w:pPr>
      <w:lvlJc w:val="left"/>
    </w:lvl>
    <w:lvl w:ilvl="1">
      <w:numFmt w:val="bullet"/>
      <w:lvlText w:val="◦"/>
      <w:start w:val="0"/>
      <w:rPr>
        <w:rFonts w:ascii="OpenSymbol" w:hAnsi="OpenSymbol"/>
      </w:rPr>
      <w:pPr>
        <w:ind w:left="1080"/>
        <w:ind w:hanging="360"/>
      </w:pPr>
      <w:lvlJc w:val="left"/>
    </w:lvl>
    <w:lvl w:ilvl="2">
      <w:numFmt w:val="bullet"/>
      <w:lvlText w:val="▪"/>
      <w:start w:val="0"/>
      <w:rPr>
        <w:rFonts w:ascii="OpenSymbol" w:hAnsi="OpenSymbol"/>
      </w:rPr>
      <w:pPr>
        <w:ind w:left="1440"/>
        <w:ind w:hanging="360"/>
      </w:pPr>
      <w:lvlJc w:val="left"/>
    </w:lvl>
    <w:lvl w:ilvl="3">
      <w:numFmt w:val="bullet"/>
      <w:lvlText w:val=""/>
      <w:start w:val="0"/>
      <w:rPr>
        <w:rFonts w:ascii="Symbol" w:hAnsi="Symbol"/>
      </w:rPr>
      <w:pPr>
        <w:ind w:left="1800"/>
        <w:ind w:hanging="360"/>
      </w:pPr>
      <w:lvlJc w:val="left"/>
    </w:lvl>
    <w:lvl w:ilvl="4">
      <w:numFmt w:val="bullet"/>
      <w:lvlText w:val="◦"/>
      <w:start w:val="0"/>
      <w:rPr>
        <w:rFonts w:ascii="OpenSymbol" w:hAnsi="OpenSymbol"/>
      </w:rPr>
      <w:pPr>
        <w:ind w:left="2160"/>
        <w:ind w:hanging="360"/>
      </w:pPr>
      <w:lvlJc w:val="left"/>
    </w:lvl>
    <w:lvl w:ilvl="5">
      <w:numFmt w:val="bullet"/>
      <w:lvlText w:val="▪"/>
      <w:start w:val="0"/>
      <w:rPr>
        <w:rFonts w:ascii="OpenSymbol" w:hAnsi="OpenSymbol"/>
      </w:rPr>
      <w:pPr>
        <w:ind w:left="2520"/>
        <w:ind w:hanging="360"/>
      </w:pPr>
      <w:lvlJc w:val="left"/>
    </w:lvl>
    <w:lvl w:ilvl="6">
      <w:numFmt w:val="bullet"/>
      <w:lvlText w:val=""/>
      <w:start w:val="0"/>
      <w:rPr>
        <w:rFonts w:ascii="Symbol" w:hAnsi="Symbol"/>
      </w:rPr>
      <w:pPr>
        <w:ind w:left="2880"/>
        <w:ind w:hanging="360"/>
      </w:pPr>
      <w:lvlJc w:val="left"/>
    </w:lvl>
    <w:lvl w:ilvl="7">
      <w:numFmt w:val="bullet"/>
      <w:lvlText w:val="◦"/>
      <w:start w:val="0"/>
      <w:rPr>
        <w:rFonts w:ascii="OpenSymbol" w:hAnsi="OpenSymbol"/>
      </w:rPr>
      <w:pPr>
        <w:ind w:left="3240"/>
        <w:ind w:hanging="360"/>
      </w:pPr>
      <w:lvlJc w:val="left"/>
    </w:lvl>
    <w:lvl w:ilvl="8">
      <w:numFmt w:val="bullet"/>
      <w:lvlText w:val="▪"/>
      <w:start w:val="0"/>
      <w:rPr>
        <w:rFonts w:ascii="OpenSymbol" w:hAnsi="OpenSymbol"/>
      </w:rPr>
      <w:pPr>
        <w:ind w:left="3600"/>
        <w:ind w:hanging="360"/>
      </w:pPr>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spacing w:before="160" w:after="160" w:line="276" w:lineRule="auto"/>
    </w:pPr>
    <w:rPr>
      <w:rFonts w:ascii="Corbel" w:hAnsi="Corbel"/>
    </w:rPr>
  </w:style>
  <w:style w:type="paragraph" w:styleId="Heading1">
    <w:name w:val="Heading 1"/>
    <w:qFormat/>
    <w:basedOn w:val="Normal"/>
    <w:pPr>
      <w:spacing w:before="160" w:after="0" w:line="100" w:lineRule="atLeast"/>
    </w:pPr>
    <w:rPr>
      <w:color w:val="002060"/>
      <w:rFonts w:ascii="Trajan Pro" w:hAnsi="Trajan Pro"/>
      <w:sz w:val="48"/>
      <w:szCs w:val="48"/>
    </w:rPr>
  </w:style>
  <w:style w:type="paragraph" w:styleId="Heading2">
    <w:name w:val="Heading 2"/>
    <w:qFormat/>
    <w:basedOn w:val="Normal"/>
    <w:pPr>
      <w:pBdr>
        <w:top w:val="single" w:sz="4" w:color="C0C0C0" w:space="4"/>
        <w:bottom w:val="single" w:sz="4" w:color="C0C0C0" w:space="4"/>
      </w:pBdr>
      <w:spacing w:before="0" w:after="0" w:line="100" w:lineRule="atLeast"/>
    </w:pPr>
    <w:rPr>
      <w:color w:val="002060"/>
      <w:rFonts w:ascii="Trebuchet MS" w:hAnsi="Trebuchet MS"/>
      <w:sz w:val="28"/>
      <w:szCs w:val="28"/>
    </w:rPr>
  </w:style>
  <w:style w:type="paragraph" w:styleId="Heading3">
    <w:name w:val="Heading 3"/>
    <w:qFormat/>
    <w:basedOn w:val="Normal"/>
    <w:pPr>
      <w:spacing w:before="160" w:after="0" w:line="100" w:lineRule="atLeast"/>
    </w:pPr>
    <w:rPr>
      <w:b/>
      <w:rFonts w:ascii="Trebuchet MS" w:hAnsi="Trebuchet MS"/>
      <w:sz w:val="26"/>
      <w:szCs w:val="24"/>
    </w:rPr>
  </w:style>
  <w:style w:type="paragraph" w:styleId="Heading4">
    <w:name w:val="Heading 4"/>
    <w:qFormat/>
    <w:basedOn w:val="Heading3"/>
    <w:pPr>
      <w:spacing w:before="120" w:after="120"/>
    </w:pPr>
    <w:rPr>
      <w:i/>
      <w:color w:val="7F7F7F"/>
      <w:sz w:val="22"/>
      <w:caps/>
    </w:rPr>
  </w:style>
  <w:style w:type="paragraph" w:styleId="Heading5">
    <w:name w:val="Heading 5"/>
    <w:qFormat/>
    <w:basedOn w:val="Normal"/>
    <w:pPr>
      <w:spacing w:before="60" w:after="60" w:line="100" w:lineRule="atLeast"/>
    </w:pPr>
    <w:rPr>
      <w:color w:val="F72B1E"/>
      <w:rFonts w:ascii="Trebuchet MS" w:hAnsi="Trebuchet MS"/>
      <w:caps/>
    </w:rPr>
  </w:style>
  <w:style w:type="paragraph" w:styleId="Heading6">
    <w:name w:val="Heading 6"/>
    <w:qFormat/>
    <w:basedOn w:val="Normal"/>
    <w:pPr>
      <w:ind w:left="360"/>
      <w:ind w:right="0"/>
      <w:ind w:firstLine="0"/>
      <w:spacing w:before="160" w:after="0" w:line="100" w:lineRule="atLeast"/>
    </w:pPr>
    <w:rPr>
      <w:color w:val="F72B1E"/>
      <w:caps/>
    </w:rPr>
  </w:style>
  <w:style w:type="paragraph" w:styleId="Heading9">
    <w:name w:val="Heading 9"/>
    <w:qFormat/>
    <w:basedOn w:val="Normal"/>
    <w:pPr>
      <w:spacing w:before="200" w:after="0"/>
    </w:pPr>
    <w:rPr>
      <w:i/>
      <w:color w:val="404040"/>
      <w:rFonts w:ascii="Trebuchet MS" w:hAnsi="Trebuchet MS"/>
    </w:rPr>
  </w:style>
  <w:style w:type="character" w:styleId="DefaultParagraphFont">
    <w:name w:val="Default Paragraph Font"/>
    <w:qFormat/>
  </w:style>
  <w:style w:type="table" w:styleId="TableNormal">
    <w:name w:val="Table Normal"/>
    <w:qFormat/>
    <w:tblPr>
      <w:tblStyle w:val="TableNormal"/>
      <w:tblLook w:firstRow="1" w:lastRow="1" w:firstColumn="1" w:lastColumn="1" w:noHBand="0" w:noVBand="0"/>
    </w:tblPr>
    <w:pPr/>
  </w:style>
  <w:style w:type="numbering" w:styleId="NoList">
    <w:name w:val="No List"/>
    <w:qFormat/>
  </w:style>
  <w:style w:type="character" w:styleId="WW8Num1z0">
    <w:name w:val="WW8Num1z0"/>
    <w:qFormat/>
  </w:style>
  <w:style w:type="character" w:styleId="WW8Num1z1">
    <w:name w:val="WW8Num1z1"/>
    <w:qFormat/>
  </w:style>
  <w:style w:type="character" w:styleId="WW8Num1z2">
    <w:name w:val="WW8Num1z2"/>
    <w:qFormat/>
  </w:style>
  <w:style w:type="character" w:styleId="WW8Num1z3">
    <w:name w:val="WW8Num1z3"/>
    <w:qFormat/>
  </w:style>
  <w:style w:type="character" w:styleId="WW8Num1z4">
    <w:name w:val="WW8Num1z4"/>
    <w:qFormat/>
  </w:style>
  <w:style w:type="character" w:styleId="WW8Num1z5">
    <w:name w:val="WW8Num1z5"/>
    <w:qFormat/>
  </w:style>
  <w:style w:type="character" w:styleId="WW8Num1z6">
    <w:name w:val="WW8Num1z6"/>
    <w:qFormat/>
  </w:style>
  <w:style w:type="character" w:styleId="WW8Num1z7">
    <w:name w:val="WW8Num1z7"/>
    <w:qFormat/>
  </w:style>
  <w:style w:type="character" w:styleId="WW8Num1z8">
    <w:name w:val="WW8Num1z8"/>
    <w:qFormat/>
  </w:style>
  <w:style w:type="character" w:styleId="WW8Num2z0">
    <w:name w:val="WW8Num2z0"/>
    <w:qFormat/>
    <w:rPr>
      <w:color w:val="800000"/>
      <w:rFonts w:ascii="Symbol" w:hAnsi="Symbol"/>
    </w:rPr>
  </w:style>
  <w:style w:type="character" w:styleId="WW8Num2z1">
    <w:name w:val="WW8Num2z1"/>
    <w:qFormat/>
    <w:rPr>
      <w:rFonts w:ascii="Courier New" w:hAnsi="Courier New"/>
    </w:rPr>
  </w:style>
  <w:style w:type="character" w:styleId="WW8Num2z2">
    <w:name w:val="WW8Num2z2"/>
    <w:qFormat/>
    <w:rPr>
      <w:rFonts w:ascii="Wingdings" w:hAnsi="Wingdings"/>
    </w:rPr>
  </w:style>
  <w:style w:type="character" w:styleId="WW8Num2z3">
    <w:name w:val="WW8Num2z3"/>
    <w:qFormat/>
  </w:style>
  <w:style w:type="character" w:styleId="WW8Num2z4">
    <w:name w:val="WW8Num2z4"/>
    <w:qFormat/>
  </w:style>
  <w:style w:type="character" w:styleId="WW8Num2z5">
    <w:name w:val="WW8Num2z5"/>
    <w:qFormat/>
  </w:style>
  <w:style w:type="character" w:styleId="WW8Num2z6">
    <w:name w:val="WW8Num2z6"/>
    <w:qFormat/>
  </w:style>
  <w:style w:type="character" w:styleId="WW8Num2z7">
    <w:name w:val="WW8Num2z7"/>
    <w:qFormat/>
  </w:style>
  <w:style w:type="character" w:styleId="WW8Num2z8">
    <w:name w:val="WW8Num2z8"/>
    <w:qFormat/>
  </w:style>
  <w:style w:type="character" w:styleId="WW8Num3z0">
    <w:name w:val="WW8Num3z0"/>
    <w:qFormat/>
    <w:rPr>
      <w:color w:val="800000"/>
      <w:rFonts w:ascii="Symbol" w:hAnsi="Symbol"/>
    </w:rPr>
  </w:style>
  <w:style w:type="character" w:styleId="WW8Num3z1">
    <w:name w:val="WW8Num3z1"/>
    <w:qFormat/>
    <w:rPr>
      <w:rFonts w:ascii="Courier New" w:hAnsi="Courier New"/>
    </w:rPr>
  </w:style>
  <w:style w:type="character" w:styleId="WW8Num3z2">
    <w:name w:val="WW8Num3z2"/>
    <w:qFormat/>
    <w:rPr>
      <w:rFonts w:ascii="Wingdings" w:hAnsi="Wingdings"/>
    </w:rPr>
  </w:style>
  <w:style w:type="character" w:styleId="WW8Num4z0">
    <w:name w:val="WW8Num4z0"/>
    <w:qFormat/>
    <w:rPr>
      <w:rFonts w:ascii="Symbol" w:hAnsi="Symbol"/>
    </w:rPr>
  </w:style>
  <w:style w:type="character" w:styleId="WW8Num4z1">
    <w:name w:val="WW8Num4z1"/>
    <w:qFormat/>
    <w:rPr>
      <w:rFonts w:ascii="Courier New" w:hAnsi="Courier New"/>
    </w:rPr>
  </w:style>
  <w:style w:type="character" w:styleId="WW8Num4z2">
    <w:name w:val="WW8Num4z2"/>
    <w:qFormat/>
    <w:rPr>
      <w:rFonts w:ascii="Wingdings" w:hAnsi="Wingdings"/>
    </w:rPr>
  </w:style>
  <w:style w:type="character" w:styleId="WW8Num5z0">
    <w:name w:val="WW8Num5z0"/>
    <w:qFormat/>
    <w:rPr>
      <w:rFonts w:ascii="Symbol" w:hAnsi="Symbol"/>
    </w:rPr>
  </w:style>
  <w:style w:type="character" w:styleId="WW8Num5z1">
    <w:name w:val="WW8Num5z1"/>
    <w:qFormat/>
    <w:rPr>
      <w:rFonts w:ascii="Courier New" w:hAnsi="Courier New"/>
    </w:rPr>
  </w:style>
  <w:style w:type="character" w:styleId="WW8Num5z2">
    <w:name w:val="WW8Num5z2"/>
    <w:qFormat/>
    <w:rPr>
      <w:rFonts w:ascii="Wingdings" w:hAnsi="Wingdings"/>
    </w:rPr>
  </w:style>
  <w:style w:type="character" w:styleId="WW8Num6z0">
    <w:name w:val="WW8Num6z0"/>
    <w:qFormat/>
    <w:rPr>
      <w:rFonts w:ascii="Symbol" w:hAnsi="Symbol"/>
    </w:rPr>
  </w:style>
  <w:style w:type="character" w:styleId="WW8Num6z1">
    <w:name w:val="WW8Num6z1"/>
    <w:qFormat/>
    <w:rPr>
      <w:rFonts w:ascii="Courier New" w:hAnsi="Courier New"/>
    </w:rPr>
  </w:style>
  <w:style w:type="character" w:styleId="WW8Num6z2">
    <w:name w:val="WW8Num6z2"/>
    <w:qFormat/>
    <w:rPr>
      <w:rFonts w:ascii="Wingdings" w:hAnsi="Wingdings"/>
    </w:rPr>
  </w:style>
  <w:style w:type="character" w:styleId="WW8Num7z0">
    <w:name w:val="WW8Num7z0"/>
    <w:qFormat/>
    <w:rPr>
      <w:rFonts w:ascii="Symbol" w:hAnsi="Symbol"/>
    </w:rPr>
  </w:style>
  <w:style w:type="character" w:styleId="WW8Num7z1">
    <w:name w:val="WW8Num7z1"/>
    <w:qFormat/>
    <w:rPr>
      <w:rFonts w:ascii="Courier New" w:hAnsi="Courier New"/>
    </w:rPr>
  </w:style>
  <w:style w:type="character" w:styleId="WW8Num7z2">
    <w:name w:val="WW8Num7z2"/>
    <w:qFormat/>
    <w:rPr>
      <w:rFonts w:ascii="Wingdings" w:hAnsi="Wingdings"/>
    </w:rPr>
  </w:style>
  <w:style w:type="character" w:styleId="WW8Num8z0">
    <w:name w:val="WW8Num8z0"/>
    <w:qFormat/>
    <w:rPr>
      <w:rFonts w:ascii="Symbol" w:hAnsi="Symbol"/>
    </w:rPr>
  </w:style>
  <w:style w:type="character" w:styleId="WW8Num8z1">
    <w:name w:val="WW8Num8z1"/>
    <w:qFormat/>
    <w:rPr>
      <w:rFonts w:ascii="Courier New" w:hAnsi="Courier New"/>
    </w:rPr>
  </w:style>
  <w:style w:type="character" w:styleId="WW8Num8z2">
    <w:name w:val="WW8Num8z2"/>
    <w:qFormat/>
    <w:rPr>
      <w:rFonts w:ascii="Wingdings" w:hAnsi="Wingdings"/>
    </w:rPr>
  </w:style>
  <w:style w:type="character" w:styleId="WW8Num9z0">
    <w:name w:val="WW8Num9z0"/>
    <w:qFormat/>
    <w:rPr>
      <w:rFonts w:ascii="Symbol" w:hAnsi="Symbol"/>
    </w:rPr>
  </w:style>
  <w:style w:type="character" w:styleId="WW8Num9z1">
    <w:name w:val="WW8Num9z1"/>
    <w:qFormat/>
    <w:rPr>
      <w:rFonts w:ascii="Courier New" w:hAnsi="Courier New"/>
    </w:rPr>
  </w:style>
  <w:style w:type="character" w:styleId="WW8Num9z2">
    <w:name w:val="WW8Num9z2"/>
    <w:qFormat/>
    <w:rPr>
      <w:rFonts w:ascii="Wingdings" w:hAnsi="Wingdings"/>
    </w:rPr>
  </w:style>
  <w:style w:type="character" w:styleId="WW8Num10z0">
    <w:name w:val="WW8Num10z0"/>
    <w:qFormat/>
    <w:rPr>
      <w:rFonts w:ascii="Symbol" w:hAnsi="Symbol"/>
    </w:rPr>
  </w:style>
  <w:style w:type="character" w:styleId="WW8Num10z1">
    <w:name w:val="WW8Num10z1"/>
    <w:qFormat/>
    <w:rPr>
      <w:rFonts w:ascii="Courier New" w:hAnsi="Courier New"/>
    </w:rPr>
  </w:style>
  <w:style w:type="character" w:styleId="WW8Num10z2">
    <w:name w:val="WW8Num10z2"/>
    <w:qFormat/>
    <w:rPr>
      <w:rFonts w:ascii="Wingdings" w:hAnsi="Wingdings"/>
    </w:rPr>
  </w:style>
  <w:style w:type="character" w:styleId="WW8Num10z3">
    <w:name w:val="WW8Num10z3"/>
    <w:qFormat/>
    <w:rPr>
      <w:rFonts w:ascii="Symbol" w:hAnsi="Symbol"/>
    </w:rPr>
  </w:style>
  <w:style w:type="character" w:styleId="DefaultParagraphFont1">
    <w:name w:val="Default Paragraph Font"/>
    <w:qFormat/>
  </w:style>
  <w:style w:type="character" w:styleId="BalloonTextChar">
    <w:name w:val="Balloon Text Char"/>
    <w:qFormat/>
    <w:rPr>
      <w:color w:val="000000"/>
      <w:rFonts w:ascii="Tahoma" w:hAnsi="Tahoma"/>
      <w:sz w:val="16"/>
      <w:szCs w:val="16"/>
    </w:rPr>
  </w:style>
  <w:style w:type="character" w:styleId="TitleChar">
    <w:name w:val="Title Char"/>
    <w:qFormat/>
    <w:rPr>
      <w:color w:val="F72B1E"/>
      <w:rFonts w:ascii="Trebuchet MS" w:hAnsi="Trebuchet MS"/>
      <w:sz w:val="48"/>
      <w:szCs w:val="48"/>
    </w:rPr>
  </w:style>
  <w:style w:type="character" w:styleId="SubtitleChar">
    <w:name w:val="Subtitle Char"/>
    <w:qFormat/>
    <w:rPr>
      <w:sz w:val="24"/>
      <w:szCs w:val="24"/>
    </w:rPr>
  </w:style>
  <w:style w:type="character" w:styleId="Strong">
    <w:name w:val="Strong"/>
    <w:qFormat/>
    <w:rPr>
      <w:b/>
      <w:color w:val="595959"/>
    </w:rPr>
  </w:style>
  <w:style w:type="character" w:styleId="HeaderChar">
    <w:name w:val="Header Char"/>
    <w:qFormat/>
    <w:rPr>
      <w:color w:val="595959"/>
      <w:sz w:val="18"/>
    </w:rPr>
  </w:style>
  <w:style w:type="character" w:styleId="FooterChar">
    <w:name w:val="Footer Char"/>
    <w:qFormat/>
    <w:rPr>
      <w:i/>
      <w:color w:val="A6A6A6"/>
      <w:sz w:val="16"/>
      <w:szCs w:val="16"/>
    </w:rPr>
  </w:style>
  <w:style w:type="character" w:styleId="pagenumber">
    <w:name w:val="page number"/>
    <w:qFormat/>
    <w:rPr>
      <w:color w:val="002060"/>
      <w:rFonts w:ascii="Trebuchet MS" w:hAnsi="Trebuchet MS"/>
      <w:sz w:val="20"/>
    </w:rPr>
  </w:style>
  <w:style w:type="character" w:styleId="Heading1Char">
    <w:name w:val="Heading 1 Char"/>
    <w:qFormat/>
    <w:rPr>
      <w:color w:val="002060"/>
      <w:rFonts w:ascii="Trajan Pro" w:hAnsi="Trajan Pro"/>
      <w:sz w:val="48"/>
      <w:szCs w:val="48"/>
    </w:rPr>
  </w:style>
  <w:style w:type="character" w:styleId="Heading2Char">
    <w:name w:val="Heading 2 Char"/>
    <w:qFormat/>
    <w:rPr>
      <w:color w:val="002060"/>
      <w:rFonts w:ascii="Trebuchet MS" w:hAnsi="Trebuchet MS"/>
      <w:sz w:val="28"/>
      <w:szCs w:val="28"/>
    </w:rPr>
  </w:style>
  <w:style w:type="character" w:styleId="Heading5Char">
    <w:name w:val="Heading 5 Char"/>
    <w:qFormat/>
    <w:rPr>
      <w:color w:val="F72B1E"/>
      <w:rFonts w:ascii="Trebuchet MS" w:hAnsi="Trebuchet MS"/>
      <w:caps/>
    </w:rPr>
  </w:style>
  <w:style w:type="character" w:styleId="Heading3Char">
    <w:name w:val="Heading 3 Char"/>
    <w:qFormat/>
    <w:rPr>
      <w:b/>
      <w:rFonts w:ascii="Trebuchet MS" w:hAnsi="Trebuchet MS"/>
      <w:sz w:val="26"/>
      <w:szCs w:val="24"/>
    </w:rPr>
  </w:style>
  <w:style w:type="character" w:styleId="Heading6Char">
    <w:name w:val="Heading 6 Char"/>
    <w:qFormat/>
    <w:rPr>
      <w:color w:val="F72B1E"/>
      <w:caps/>
    </w:rPr>
  </w:style>
  <w:style w:type="character" w:styleId="Hyperlink">
    <w:name w:val="Hyperlink"/>
    <w:qFormat/>
    <w:rPr>
      <w:u w:val="single"/>
      <w:color w:val="002060"/>
    </w:rPr>
  </w:style>
  <w:style w:type="character" w:styleId="PlaceholderText">
    <w:name w:val="Placeholder Text"/>
    <w:qFormat/>
    <w:rPr>
      <w:color w:val="808080"/>
    </w:rPr>
  </w:style>
  <w:style w:type="character" w:styleId="Heading4Char">
    <w:name w:val="Heading 4 Char"/>
    <w:qFormat/>
    <w:rPr>
      <w:i/>
      <w:color w:val="7F7F7F"/>
      <w:rFonts w:ascii="Trebuchet MS" w:hAnsi="Trebuchet MS"/>
      <w:sz w:val="22"/>
      <w:szCs w:val="24"/>
      <w:caps/>
    </w:rPr>
  </w:style>
  <w:style w:type="character" w:styleId="Emphasis">
    <w:name w:val="Emphasis"/>
    <w:qFormat/>
    <w:rPr>
      <w:i/>
    </w:rPr>
  </w:style>
  <w:style w:type="character" w:styleId="IntenseEmphasis">
    <w:name w:val="Intense Emphasis"/>
    <w:qFormat/>
    <w:rPr>
      <w:b/>
      <w:i/>
      <w:color w:val="C00000"/>
      <w:rFonts w:ascii="Trebuchet MS" w:hAnsi="Trebuchet MS"/>
      <w:sz w:val="24"/>
      <w:szCs w:val="48"/>
    </w:rPr>
  </w:style>
  <w:style w:type="character" w:styleId="Heading9Char">
    <w:name w:val="Heading 9 Char"/>
    <w:qFormat/>
    <w:rPr>
      <w:i/>
      <w:color w:val="404040"/>
      <w:rFonts w:ascii="Trebuchet MS" w:hAnsi="Trebuchet MS"/>
    </w:rPr>
  </w:style>
  <w:style w:type="character" w:styleId="FollowedHyperlink">
    <w:name w:val="FollowedHyperlink"/>
    <w:qFormat/>
    <w:rPr>
      <w:u w:val="single"/>
      <w:color w:val="FDAF3D"/>
    </w:rPr>
  </w:style>
  <w:style w:type="character" w:styleId="ListLabel1">
    <w:name w:val="ListLabel 1"/>
    <w:qFormat/>
    <w:rPr/>
  </w:style>
  <w:style w:type="character" w:styleId="ListLabel2">
    <w:name w:val="ListLabel 2"/>
    <w:qFormat/>
    <w:rPr/>
  </w:style>
  <w:style w:type="character" w:styleId="ListLabel3">
    <w:name w:val="ListLabel 3"/>
    <w:qFormat/>
    <w:rPr>
      <w:color w:val="F72B1E"/>
      <w:sz w:val="28"/>
    </w:rPr>
  </w:style>
  <w:style w:type="character" w:styleId="ListLabel4">
    <w:name w:val="ListLabel 4"/>
    <w:qFormat/>
    <w:rPr>
      <w:color w:val="7F7F7F"/>
      <w:sz w:val="28"/>
    </w:rPr>
  </w:style>
  <w:style w:type="character" w:styleId="ListLabel5">
    <w:name w:val="ListLabel 5"/>
    <w:qFormat/>
    <w:rPr/>
  </w:style>
  <w:style w:type="character" w:styleId="FollowedHyperlink1">
    <w:name w:val="FollowedHyperlink"/>
    <w:qFormat/>
    <w:rPr>
      <w:u w:val="single"/>
      <w:color w:val="800000"/>
    </w:rPr>
  </w:style>
  <w:style w:type="character" w:styleId="IndexLink">
    <w:name w:val="Index Link"/>
    <w:qFormat/>
  </w:style>
  <w:style w:type="character" w:styleId="Bullets">
    <w:name w:val="Bullets"/>
    <w:qFormat/>
    <w:rPr>
      <w:rFonts w:ascii="OpenSymbol" w:hAnsi="OpenSymbol"/>
    </w:rPr>
  </w:style>
  <w:style w:type="paragraph" w:styleId="Heading">
    <w:name w:val="Heading"/>
    <w:qFormat/>
    <w:basedOn w:val="Normal"/>
    <w:pPr>
      <w:spacing w:before="240" w:after="120"/>
    </w:pPr>
    <w:rPr>
      <w:rFonts w:ascii="Arial" w:hAnsi="Arial"/>
      <w:sz w:val="28"/>
      <w:szCs w:val="28"/>
    </w:rPr>
  </w:style>
  <w:style w:type="paragraph" w:styleId="BodyText">
    <w:name w:val="Body Text"/>
    <w:qFormat/>
    <w:basedOn w:val="Normal"/>
    <w:pPr>
      <w:spacing w:before="0" w:after="120"/>
    </w:pPr>
  </w:style>
  <w:style w:type="paragraph" w:styleId="List">
    <w:name w:val="List"/>
    <w:qFormat/>
    <w:basedOn w:val="BodyText"/>
    <w:pPr/>
    <w:rPr/>
  </w:style>
  <w:style w:type="paragraph" w:styleId="Caption">
    <w:name w:val="Caption"/>
    <w:qFormat/>
    <w:basedOn w:val="Normal"/>
    <w:pPr>
      <w:spacing w:before="120" w:after="120"/>
    </w:pPr>
    <w:rPr>
      <w:i/>
      <w:sz w:val="24"/>
      <w:szCs w:val="24"/>
    </w:rPr>
  </w:style>
  <w:style w:type="paragraph" w:styleId="Index">
    <w:name w:val="Index"/>
    <w:qFormat/>
    <w:basedOn w:val="Normal"/>
    <w:pPr/>
    <w:rPr/>
  </w:style>
  <w:style w:type="paragraph" w:styleId="BalloonText">
    <w:name w:val="Balloon Text"/>
    <w:qFormat/>
    <w:basedOn w:val="Normal"/>
    <w:pPr>
      <w:ind w:left="0"/>
      <w:ind w:right="0"/>
      <w:ind w:firstLine="0"/>
    </w:pPr>
    <w:rPr>
      <w:rFonts w:ascii="Tahoma" w:hAnsi="Tahoma"/>
      <w:sz w:val="16"/>
      <w:szCs w:val="16"/>
    </w:rPr>
  </w:style>
  <w:style w:type="paragraph" w:styleId="Normal-SpaceAfter">
    <w:name w:val="Normal - Space After"/>
    <w:qFormat/>
    <w:basedOn w:val="Normal"/>
    <w:pPr>
      <w:ind w:left="0"/>
      <w:ind w:right="0"/>
      <w:ind w:firstLine="0"/>
      <w:spacing w:before="160" w:after="1200"/>
    </w:pPr>
  </w:style>
  <w:style w:type="paragraph" w:styleId="CoverLogo">
    <w:name w:val="Cover Logo"/>
    <w:qFormat/>
    <w:basedOn w:val="Normal"/>
    <w:pPr>
      <w:pBdr>
        <w:bottom w:val="single" w:sz="4" w:color="C0C0C0" w:space="15"/>
      </w:pBdr>
      <w:jc w:val="center"/>
      <w:ind w:left="864"/>
      <w:ind w:right="864"/>
      <w:ind w:firstLine="0"/>
      <w:spacing w:before="2000" w:after="1000" w:line="100" w:lineRule="atLeast"/>
    </w:pPr>
  </w:style>
  <w:style w:type="paragraph" w:styleId="Title">
    <w:name w:val="Title"/>
    <w:qFormat/>
    <w:basedOn w:val="Normal"/>
    <w:pPr>
      <w:jc w:val="center"/>
      <w:ind w:left="0"/>
      <w:ind w:right="0"/>
      <w:ind w:firstLine="0"/>
      <w:spacing w:before="1000" w:after="0" w:line="100" w:lineRule="atLeast"/>
    </w:pPr>
    <w:rPr>
      <w:b/>
      <w:color w:val="F72B1E"/>
      <w:rFonts w:ascii="Trebuchet MS" w:hAnsi="Trebuchet MS"/>
      <w:sz w:val="48"/>
      <w:szCs w:val="48"/>
    </w:rPr>
  </w:style>
  <w:style w:type="paragraph" w:styleId="Subtitle">
    <w:name w:val="Subtitle"/>
    <w:qFormat/>
    <w:basedOn w:val="Normal"/>
    <w:pPr>
      <w:pBdr>
        <w:bottom w:val="single" w:sz="4" w:color="C0C0C0" w:space="31"/>
      </w:pBdr>
      <w:jc w:val="center"/>
      <w:ind w:left="864"/>
      <w:ind w:right="864"/>
      <w:ind w:firstLine="0"/>
      <w:spacing w:before="160" w:after="360" w:line="100" w:lineRule="atLeast"/>
    </w:pPr>
    <w:rPr>
      <w:i/>
      <w:sz w:val="24"/>
      <w:szCs w:val="24"/>
    </w:rPr>
  </w:style>
  <w:style w:type="paragraph" w:styleId="CompanyInfo">
    <w:name w:val="Company Info"/>
    <w:qFormat/>
    <w:basedOn w:val="Normal"/>
    <w:pPr>
      <w:jc w:val="center"/>
      <w:ind w:left="0"/>
      <w:ind w:right="0"/>
      <w:ind w:firstLine="0"/>
      <w:spacing w:before="300" w:after="0" w:line="360" w:lineRule="auto"/>
    </w:pPr>
    <w:rPr>
      <w:color w:val="7F7F7F"/>
      <w:szCs w:val="18"/>
    </w:rPr>
  </w:style>
  <w:style w:type="paragraph" w:styleId="Header">
    <w:name w:val="Header"/>
    <w:qFormat/>
    <w:basedOn w:val="Normal"/>
    <w:pPr>
      <w:ind w:left="0"/>
      <w:ind w:right="0"/>
      <w:ind w:firstLine="0"/>
    </w:pPr>
  </w:style>
  <w:style w:type="paragraph" w:styleId="Footer">
    <w:name w:val="Footer"/>
    <w:qFormat/>
    <w:basedOn w:val="Normal"/>
    <w:pPr>
      <w:ind w:left="0"/>
      <w:ind w:right="0"/>
      <w:ind w:firstLine="0"/>
      <w:spacing w:before="0" w:after="60" w:line="100" w:lineRule="atLeast"/>
    </w:pPr>
    <w:rPr>
      <w:i/>
      <w:color w:val="A6A6A6"/>
      <w:sz w:val="16"/>
      <w:szCs w:val="16"/>
    </w:rPr>
  </w:style>
  <w:style w:type="paragraph" w:styleId="NoSpacing">
    <w:name w:val="No Spacing"/>
    <w:qFormat/>
    <w:pPr>
      <w:spacing w:line="100" w:lineRule="atLeast"/>
    </w:pPr>
    <w:rPr>
      <w:color w:val="595959"/>
      <w:rFonts w:ascii="Corbel" w:hAnsi="Corbel"/>
      <w:sz w:val="18"/>
    </w:rPr>
  </w:style>
  <w:style w:type="paragraph" w:styleId="SidebarText">
    <w:name w:val="Sidebar Text"/>
    <w:qFormat/>
    <w:basedOn w:val="Normal"/>
    <w:pPr>
      <w:ind w:left="360"/>
      <w:ind w:right="0"/>
      <w:ind w:firstLine="0"/>
      <w:spacing w:before="40" w:after="120" w:line="100" w:lineRule="atLeast"/>
    </w:pPr>
    <w:rPr>
      <w:color w:val="404040"/>
      <w:sz w:val="16"/>
      <w:szCs w:val="16"/>
    </w:rPr>
  </w:style>
  <w:style w:type="paragraph" w:styleId="ListBullet">
    <w:name w:val="List Bullet"/>
    <w:qFormat/>
    <w:basedOn w:val="Normal"/>
    <w:pPr>
      <w:ind w:left="360"/>
      <w:ind w:right="0"/>
      <w:ind w:hanging="288"/>
      <w:spacing w:before="100" w:after="0" w:line="100" w:lineRule="atLeast"/>
    </w:pPr>
    <w:rPr>
      <w:caps/>
    </w:rPr>
  </w:style>
  <w:style w:type="paragraph" w:styleId="ListBulletNegative">
    <w:name w:val="List Bullet Negative"/>
    <w:qFormat/>
    <w:basedOn w:val="Normal"/>
    <w:pPr>
      <w:ind w:left="360"/>
      <w:ind w:right="0"/>
      <w:ind w:hanging="288"/>
      <w:spacing w:before="100" w:after="0" w:line="100" w:lineRule="atLeast"/>
    </w:pPr>
    <w:rPr>
      <w:caps/>
    </w:rPr>
  </w:style>
  <w:style w:type="paragraph" w:styleId="ListBullet2">
    <w:name w:val="List Bullet 2"/>
    <w:qFormat/>
    <w:basedOn w:val="Normal"/>
    <w:pPr>
      <w:ind w:left="0"/>
      <w:ind w:right="0"/>
      <w:ind w:firstLine="0"/>
      <w:spacing w:before="160" w:after="0" w:line="100" w:lineRule="atLeast"/>
    </w:pPr>
  </w:style>
  <w:style w:type="paragraph" w:styleId="TableText">
    <w:name w:val="Table Text"/>
    <w:qFormat/>
    <w:basedOn w:val="Normal"/>
    <w:pPr>
      <w:ind w:left="0"/>
      <w:ind w:right="0"/>
      <w:ind w:firstLine="0"/>
      <w:spacing w:before="40" w:after="40" w:line="100" w:lineRule="atLeast"/>
    </w:pPr>
    <w:rPr>
      <w:color w:val="7F7F7F"/>
      <w:sz w:val="16"/>
      <w:szCs w:val="16"/>
    </w:rPr>
  </w:style>
  <w:style w:type="paragraph" w:styleId="TableRowHeading">
    <w:name w:val="Table Row Heading"/>
    <w:qFormat/>
    <w:basedOn w:val="Normal"/>
    <w:pPr>
      <w:ind w:left="0"/>
      <w:ind w:right="0"/>
      <w:ind w:firstLine="0"/>
      <w:spacing w:before="40" w:after="40" w:line="100" w:lineRule="atLeast"/>
    </w:pPr>
    <w:rPr>
      <w:color w:val="7F7F7F"/>
      <w:rFonts w:ascii="Trebuchet MS" w:hAnsi="Trebuchet MS"/>
      <w:sz w:val="16"/>
      <w:szCs w:val="16"/>
      <w:caps/>
    </w:rPr>
  </w:style>
  <w:style w:type="paragraph" w:styleId="TOC1">
    <w:name w:val="TOC 1"/>
    <w:qFormat/>
    <w:basedOn w:val="Normal"/>
    <w:pPr>
      <w:pBdr>
        <w:bottom w:val="single" w:sz="4" w:color="C0C0C0" w:space="1"/>
      </w:pBdr>
      <w:ind w:left="0"/>
      <w:ind w:right="288"/>
      <w:ind w:firstLine="0"/>
      <w:spacing w:before="400" w:after="0" w:line="100" w:lineRule="atLeast"/>
    </w:pPr>
    <w:rPr>
      <w:color w:val="002060"/>
      <w:rFonts w:ascii="Trebuchet MS" w:hAnsi="Trebuchet MS"/>
      <w:sz w:val="24"/>
    </w:rPr>
  </w:style>
  <w:style w:type="paragraph" w:styleId="TOC2">
    <w:name w:val="TOC 2"/>
    <w:qFormat/>
    <w:basedOn w:val="Normal"/>
    <w:pPr>
      <w:ind w:left="187"/>
      <w:ind w:right="288"/>
      <w:ind w:firstLine="0"/>
      <w:spacing w:before="200" w:after="0" w:line="100" w:lineRule="atLeast"/>
    </w:pPr>
  </w:style>
  <w:style w:type="paragraph" w:styleId="TOC3">
    <w:name w:val="TOC 3"/>
    <w:qFormat/>
    <w:basedOn w:val="Normal"/>
    <w:pPr>
      <w:ind w:left="360"/>
      <w:ind w:right="288"/>
      <w:ind w:firstLine="0"/>
      <w:spacing w:before="120" w:after="0" w:line="100" w:lineRule="atLeast"/>
    </w:pPr>
  </w:style>
  <w:style w:type="paragraph" w:styleId="ReportName">
    <w:name w:val="Report Name"/>
    <w:qFormat/>
    <w:basedOn w:val="Normal"/>
    <w:pPr>
      <w:jc w:val="right"/>
      <w:ind w:left="0"/>
      <w:ind w:right="0"/>
      <w:ind w:firstLine="0"/>
      <w:spacing w:before="0" w:after="40" w:line="100" w:lineRule="atLeast"/>
    </w:pPr>
    <w:rPr>
      <w:color w:val="404040"/>
      <w:rFonts w:ascii="Trebuchet MS" w:hAnsi="Trebuchet MS"/>
    </w:rPr>
  </w:style>
  <w:style w:type="paragraph" w:styleId="ContentsHeading">
    <w:name w:val="Contents Heading"/>
    <w:qFormat/>
    <w:basedOn w:val="Normal"/>
    <w:pPr>
      <w:pBdr>
        <w:top w:val="single" w:sz="4" w:color="C0C0C0" w:space="4"/>
        <w:bottom w:val="single" w:sz="4" w:color="C0C0C0" w:space="4"/>
      </w:pBdr>
      <w:ind w:left="0"/>
      <w:ind w:right="0"/>
      <w:ind w:firstLine="0"/>
      <w:spacing w:before="80" w:after="80" w:line="100" w:lineRule="atLeast"/>
    </w:pPr>
    <w:rPr>
      <w:b/>
      <w:color w:val="002060"/>
      <w:rFonts w:ascii="Trebuchet MS" w:hAnsi="Trebuchet MS"/>
      <w:sz w:val="28"/>
      <w:szCs w:val="28"/>
      <w:caps/>
    </w:rPr>
  </w:style>
  <w:style w:type="paragraph" w:styleId="TableText-Center">
    <w:name w:val="Table Text - Center"/>
    <w:qFormat/>
    <w:basedOn w:val="TableText"/>
    <w:pPr>
      <w:jc w:val="center"/>
      <w:ind w:left="0"/>
      <w:ind w:right="0"/>
      <w:ind w:firstLine="0"/>
    </w:pPr>
  </w:style>
  <w:style w:type="paragraph" w:styleId="Notice">
    <w:name w:val="Notice"/>
    <w:qFormat/>
    <w:basedOn w:val="Normal"/>
    <w:pPr>
      <w:ind w:left="0"/>
      <w:ind w:right="0"/>
      <w:ind w:firstLine="0"/>
      <w:spacing w:before="360" w:after="160"/>
    </w:pPr>
    <w:rPr>
      <w:i/>
      <w:color w:val="808080"/>
      <w:sz w:val="16"/>
      <w:szCs w:val="16"/>
    </w:rPr>
  </w:style>
  <w:style w:type="paragraph" w:styleId="ListParagraph">
    <w:name w:val="List Paragraph"/>
    <w:qFormat/>
    <w:basedOn w:val="Normal"/>
    <w:pPr>
      <w:ind w:left="720"/>
      <w:ind w:right="0"/>
      <w:ind w:firstLine="0"/>
    </w:pPr>
  </w:style>
  <w:style w:type="paragraph" w:styleId="NormalWeb">
    <w:name w:val="Normal (Web)"/>
    <w:qFormat/>
    <w:basedOn w:val="Normal"/>
    <w:pPr>
      <w:ind w:left="0"/>
      <w:ind w:right="0"/>
      <w:ind w:firstLine="0"/>
      <w:spacing w:before="100" w:after="100" w:line="100" w:lineRule="atLeast"/>
    </w:pPr>
    <w:rPr>
      <w:rFonts w:ascii="Times New Roman" w:hAnsi="Times New Roman"/>
      <w:sz w:val="24"/>
      <w:szCs w:val="24"/>
    </w:rPr>
  </w:style>
  <w:style w:type="paragraph" w:styleId="TOC4">
    <w:name w:val="TOC 4"/>
    <w:qFormat/>
    <w:basedOn w:val="Index"/>
    <w:pPr>
      <w:ind w:left="849"/>
      <w:ind w:right="0"/>
      <w:ind w:firstLine="0"/>
    </w:pPr>
  </w:style>
  <w:style w:type="paragraph" w:styleId="TOC5">
    <w:name w:val="TOC 5"/>
    <w:qFormat/>
    <w:basedOn w:val="Index"/>
    <w:pPr>
      <w:ind w:left="1132"/>
      <w:ind w:right="0"/>
      <w:ind w:firstLine="0"/>
    </w:pPr>
  </w:style>
  <w:style w:type="paragraph" w:styleId="TOC6">
    <w:name w:val="TOC 6"/>
    <w:qFormat/>
    <w:basedOn w:val="Index"/>
    <w:pPr>
      <w:ind w:left="1415"/>
      <w:ind w:right="0"/>
      <w:ind w:firstLine="0"/>
    </w:pPr>
  </w:style>
  <w:style w:type="paragraph" w:styleId="TOC7">
    <w:name w:val="TOC 7"/>
    <w:qFormat/>
    <w:basedOn w:val="Index"/>
    <w:pPr>
      <w:ind w:left="1698"/>
      <w:ind w:right="0"/>
      <w:ind w:firstLine="0"/>
    </w:pPr>
  </w:style>
  <w:style w:type="paragraph" w:styleId="TOC8">
    <w:name w:val="TOC 8"/>
    <w:qFormat/>
    <w:basedOn w:val="Index"/>
    <w:pPr>
      <w:ind w:left="1981"/>
      <w:ind w:right="0"/>
      <w:ind w:firstLine="0"/>
    </w:pPr>
  </w:style>
  <w:style w:type="paragraph" w:styleId="TOC9">
    <w:name w:val="TOC 9"/>
    <w:qFormat/>
    <w:basedOn w:val="Index"/>
    <w:pPr>
      <w:ind w:left="2264"/>
      <w:ind w:right="0"/>
      <w:ind w:firstLine="0"/>
    </w:pPr>
  </w:style>
  <w:style w:type="paragraph" w:styleId="Contents10">
    <w:name w:val="Contents 10"/>
    <w:qFormat/>
    <w:basedOn w:val="Index"/>
    <w:pPr>
      <w:ind w:left="2547"/>
      <w:ind w:right="0"/>
      <w:ind w:firstLine="0"/>
    </w:pPr>
  </w:style>
  <w:style w:type="paragraph" w:styleId="TableContents">
    <w:name w:val="Table Contents"/>
    <w:qFormat/>
    <w:basedOn w:val="Normal"/>
    <w:pPr/>
  </w:style>
  <w:style w:type="paragraph" w:styleId="TableHeading">
    <w:name w:val="Table Heading"/>
    <w:qFormat/>
    <w:basedOn w:val="TableContents"/>
    <w:pPr>
      <w:jc w:val="center"/>
    </w:pPr>
    <w:rPr>
      <w:b/>
    </w:rPr>
  </w:style>
  <w:style w:type="paragraph" w:styleId="Heading10">
    <w:name w:val="Heading 10"/>
    <w:qFormat/>
    <w:basedOn w:val="Heading"/>
    <w:pPr/>
    <w:rPr>
      <w:b/>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 Id="rId10" Type="http://schemas.openxmlformats.org/officeDocument/2006/relationships/hyperlink" Target="mailto:Brett.Bittner@lp.org" TargetMode="External"/><Relationship Id="rId11" Type="http://schemas.openxmlformats.org/officeDocument/2006/relationships/hyperlink" Target="mailto:Ken.Moellman@lp.org" TargetMode="External"/><Relationship Id="rId12" Type="http://schemas.openxmlformats.org/officeDocument/2006/relationships/hyperlink" Target="mailto:chair@lpin.org" TargetMode="External"/><Relationship Id="rId13" Type="http://schemas.openxmlformats.org/officeDocument/2006/relationships/hyperlink" Target="mailto:vicechair@lpin.org" TargetMode="External"/><Relationship Id="rId14" Type="http://schemas.openxmlformats.org/officeDocument/2006/relationships/hyperlink" Target="mailto:treasurer@lpin.org" TargetMode="External"/><Relationship Id="rId15" Type="http://schemas.openxmlformats.org/officeDocument/2006/relationships/hyperlink" Target="mailto:secretary@lpin.org" TargetMode="External"/><Relationship Id="rId16" Type="http://schemas.openxmlformats.org/officeDocument/2006/relationships/hyperlink" Target="mailto:asalgado@lpin.org" TargetMode="External"/><Relationship Id="rId17" Type="http://schemas.openxmlformats.org/officeDocument/2006/relationships/hyperlink" Target="mailto:outreach@lpin.org" TargetMode="External"/><Relationship Id="rId18" Type="http://schemas.openxmlformats.org/officeDocument/2006/relationships/hyperlink" Target="http://lpin.org/candidates/" TargetMode="External"/><Relationship Id="rId19" Type="http://schemas.openxmlformats.org/officeDocument/2006/relationships/hyperlink" Target="mailto:chair@michiganlp.org" TargetMode="External"/><Relationship Id="rId20" Type="http://schemas.openxmlformats.org/officeDocument/2006/relationships/hyperlink" Target="mailto:fulner@gmail.com" TargetMode="External"/><Relationship Id="rId21" Type="http://schemas.openxmlformats.org/officeDocument/2006/relationships/hyperlink" Target="mailto:scott.pettigrew@lpo.org" TargetMode="External"/><Relationship Id="rId22" Type="http://schemas.openxmlformats.org/officeDocument/2006/relationships/hyperlink" Target="mailto:elizabeth.gentner@lpo.org" TargetMode="External"/><Relationship Id="rId23" Type="http://schemas.openxmlformats.org/officeDocument/2006/relationships/hyperlink" Target="mailto:robert.coogan@lpo.org" TargetMode="External"/><Relationship Id="rId24" Type="http://schemas.openxmlformats.org/officeDocument/2006/relationships/hyperlink" Target="mailto:kevin.knedler@lpo.org" TargetMode="External"/><Relationship Id="rId25" Type="http://schemas.openxmlformats.org/officeDocument/2006/relationships/hyperlink" Target="mailto:linda.comstock@lpo.org" TargetMode="External"/><Relationship Id="rId26" Type="http://schemas.openxmlformats.org/officeDocument/2006/relationships/hyperlink" Target="mailto:chris.gill@lpo.org" TargetMode="External"/><Relationship Id="rId27" Type="http://schemas.openxmlformats.org/officeDocument/2006/relationships/hyperlink" Target="mailto:ann.leech@lpo.org" TargetMode="External"/><Relationship Id="rId28" Type="http://schemas.openxmlformats.org/officeDocument/2006/relationships/hyperlink" Target="mailto:chris.gill@lpo.org" TargetMode="External"/><Relationship Id="rId29" Type="http://schemas.openxmlformats.org/officeDocument/2006/relationships/hyperlink" Target="mailto:harold.thomas@lpo.org" TargetMode="Externa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footer" Target="footer1.xml"/><Relationship Id="rId33" Type="http://schemas.openxmlformats.org/officeDocument/2006/relationships/footer" Target="footer2.xml"/><Relationship Id="rId34" Type="http://schemas.openxmlformats.org/officeDocument/2006/relationships/footer" Target="footer3.xml"/><Relationship Id="rId35" Type="http://schemas.openxmlformats.org/officeDocument/2006/relationships/image" Target="media/image2.png"/><Relationship Id="rId36" Type="http://schemas.openxmlformats.org/officeDocument/2006/relationships/image" Target="media/image3.png"/></Relationships>
</file>

<file path=word/_rels/header1.xml.rels><?xml version="1.0" encoding="UTF-8" standalone="yes"?>
<Relationships xmlns="http://schemas.openxmlformats.org/package/2006/relationships"><Relationship Id="rId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