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Section 1.04 ELECTRONIC MAIL BALLOT PROCEDURES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1) Electronic Mail Ballots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Notification of an electronic mail ballot shall be made by the Secretary by electronic mail. This notification shall not include an accompanying argument for or against passage of the motion. An LNC Member may change their vote on an electronic mail ballot, provided that the change is received by the Secretary by the deadline for return of ballots.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i w:val="1"/>
          <w:color w:val="0000ff"/>
        </w:rPr>
      </w:pPr>
      <w:r w:rsidDel="00000000" w:rsidR="00000000" w:rsidRPr="00000000">
        <w:rPr>
          <w:b w:val="1"/>
          <w:i w:val="1"/>
          <w:color w:val="0000ff"/>
          <w:rtl w:val="0"/>
        </w:rPr>
        <w:t xml:space="preserve">In the event that a Regional Representative casts an explicit abstention in lieu of a yes or no vote, this shall be counted as a vote for the purposes of determining whether or not a Regional Alternate’s vote is counted, but not counted as a vote for the purposes of determining the threshold of passage for a motion.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