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114300" distT="114300" distL="114300" distR="114300">
            <wp:extent cx="3610347" cy="1152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0347"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Region 8 Report</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Submitted on 11.11.2019 by Regional Representative Justin O'Donnell</w:t>
      </w:r>
    </w:p>
    <w:p w:rsidR="00000000" w:rsidDel="00000000" w:rsidP="00000000" w:rsidRDefault="00000000" w:rsidRPr="00000000" w14:paraId="00000005">
      <w:pPr>
        <w:jc w:val="center"/>
        <w:rPr>
          <w:i w:val="1"/>
          <w:sz w:val="24"/>
          <w:szCs w:val="24"/>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Regional Representative: </w:t>
      </w:r>
      <w:r w:rsidDel="00000000" w:rsidR="00000000" w:rsidRPr="00000000">
        <w:rPr>
          <w:sz w:val="20"/>
          <w:szCs w:val="20"/>
          <w:rtl w:val="0"/>
        </w:rPr>
        <w:t xml:space="preserve"> Justin O’Donnell</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Regional Alternate: </w:t>
      </w:r>
      <w:r w:rsidDel="00000000" w:rsidR="00000000" w:rsidRPr="00000000">
        <w:rPr>
          <w:sz w:val="20"/>
          <w:szCs w:val="20"/>
          <w:rtl w:val="0"/>
        </w:rPr>
        <w:t xml:space="preserve">Pat Ford</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Notable events from Affiliates are reported below.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b w:val="1"/>
          <w:sz w:val="20"/>
          <w:szCs w:val="20"/>
          <w:rtl w:val="0"/>
        </w:rPr>
        <w:t xml:space="preserve">New Hampshire: </w:t>
      </w:r>
      <w:r w:rsidDel="00000000" w:rsidR="00000000" w:rsidRPr="00000000">
        <w:rPr>
          <w:sz w:val="20"/>
          <w:szCs w:val="20"/>
          <w:rtl w:val="0"/>
        </w:rPr>
        <w:t xml:space="preserve">LPNH is continuing it’s fundraising drive to get ready for the 2020 Ballot Access Drive in support of the LNC Presidential Nominee, as well as currently accepting registrations from Presidential Candidates to participate in the Self Funded LPNH Presidential Preference Primary to take place in February 2020, the Deadline for Presidential Candidates to file is November 15th.</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Maine: </w:t>
      </w:r>
      <w:r w:rsidDel="00000000" w:rsidR="00000000" w:rsidRPr="00000000">
        <w:rPr>
          <w:sz w:val="20"/>
          <w:szCs w:val="20"/>
          <w:rtl w:val="0"/>
        </w:rPr>
        <w:t xml:space="preserve">The Libertarian Party of Maine recently filed a lawsuit against the Secretary of State regarding the disenrollment of Libertarian voters and decrecentialing of the LPME as a Recognized Political party in the State of Maine. Details of this lawsuit will be deferred to the LNC Counsel’s report.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New York: </w:t>
      </w:r>
      <w:r w:rsidDel="00000000" w:rsidR="00000000" w:rsidRPr="00000000">
        <w:rPr>
          <w:sz w:val="20"/>
          <w:szCs w:val="20"/>
          <w:rtl w:val="0"/>
        </w:rPr>
        <w:t xml:space="preserve">The Libertarian Party of New York held a special convention of their legacy organization, “The Free Libertarian Party” where the delegates voted to dissolve the existing organization, and transfer its name, assets, and affiliation with the LNC to the newly created and newly recognized “Libertarian Party of New York” to be in full compliance with the Election Laws in the State of New York. </w:t>
      </w:r>
    </w:p>
    <w:p w:rsidR="00000000" w:rsidDel="00000000" w:rsidP="00000000" w:rsidRDefault="00000000" w:rsidRPr="00000000" w14:paraId="00000012">
      <w:pPr>
        <w:rPr>
          <w:sz w:val="20"/>
          <w:szCs w:val="20"/>
        </w:rPr>
      </w:pPr>
      <w:r w:rsidDel="00000000" w:rsidR="00000000" w:rsidRPr="00000000">
        <w:rPr>
          <w:sz w:val="20"/>
          <w:szCs w:val="20"/>
          <w:rtl w:val="0"/>
        </w:rPr>
        <w:t xml:space="preserve">Libertarian Party of New York Candidates saw a number of local wins and great showings in recent elections, including a projected win for District Attorney in a 3 way Race. </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Vermont: </w:t>
      </w:r>
      <w:r w:rsidDel="00000000" w:rsidR="00000000" w:rsidRPr="00000000">
        <w:rPr>
          <w:sz w:val="20"/>
          <w:szCs w:val="20"/>
          <w:rtl w:val="0"/>
        </w:rPr>
        <w:t xml:space="preserve">LPVT is preparing for it’s biennial reorganization under state law, that will confirm minor party status, and assure presidential ballot access in 2020.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Massachusetts:</w:t>
      </w:r>
      <w:r w:rsidDel="00000000" w:rsidR="00000000" w:rsidRPr="00000000">
        <w:rPr>
          <w:sz w:val="20"/>
          <w:szCs w:val="20"/>
          <w:rtl w:val="0"/>
        </w:rPr>
        <w:t xml:space="preserve"> LPMA had 3 candidates successfully petition to appear on the state primary ballot for State Committee in the first state sanctioned election since achieving major party status in 2016. The Candidates who successfully qualified for the ballot are Don Graham, Crs Crawford, and Peter Everett. LPMA also must submit a list of candidates to the Secretary of State by the end of the year, for who will be included in the Libertarian Party’s Presidential Primary. The Republican and Democratic parties hold caucuses to determine eligibility of candidates for their primary ballot, but there is no statutory obligation for a party to decide eligibility in a certain manner, and the State Committee of LAMA, will be tasked with deciding what LP Candidates appear on the Presidential Primary ballot.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