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1B31" w14:textId="77777777" w:rsidR="00131269" w:rsidRPr="00D9651B" w:rsidRDefault="00131269" w:rsidP="00131269">
      <w:pPr>
        <w:pStyle w:val="NoSpacing"/>
        <w:jc w:val="center"/>
        <w:rPr>
          <w:rFonts w:ascii="Times New Roman" w:hAnsi="Times New Roman" w:cs="Times New Roman"/>
          <w:b/>
          <w:bCs/>
          <w:sz w:val="24"/>
          <w:szCs w:val="24"/>
          <w:shd w:val="clear" w:color="auto" w:fill="FFFFFF"/>
        </w:rPr>
      </w:pPr>
      <w:r w:rsidRPr="00D9651B">
        <w:rPr>
          <w:rFonts w:ascii="Times New Roman" w:hAnsi="Times New Roman" w:cs="Times New Roman"/>
          <w:b/>
          <w:bCs/>
          <w:sz w:val="24"/>
          <w:szCs w:val="24"/>
          <w:shd w:val="clear" w:color="auto" w:fill="FFFFFF"/>
        </w:rPr>
        <w:t>INTEREST OF AMICUS CURIAE</w:t>
      </w:r>
      <w:r w:rsidRPr="00D9651B">
        <w:rPr>
          <w:rStyle w:val="FootnoteReference"/>
          <w:rFonts w:ascii="Times New Roman" w:hAnsi="Times New Roman" w:cs="Times New Roman"/>
          <w:b/>
          <w:bCs/>
          <w:sz w:val="24"/>
          <w:szCs w:val="24"/>
          <w:shd w:val="clear" w:color="auto" w:fill="FFFFFF"/>
        </w:rPr>
        <w:footnoteReference w:id="1"/>
      </w:r>
    </w:p>
    <w:p w14:paraId="1A3CFB79" w14:textId="77777777" w:rsidR="00131269" w:rsidRPr="00D9651B" w:rsidRDefault="00131269" w:rsidP="00131269">
      <w:pPr>
        <w:pStyle w:val="NoSpacing"/>
        <w:jc w:val="both"/>
        <w:rPr>
          <w:rFonts w:ascii="Times New Roman" w:hAnsi="Times New Roman" w:cs="Times New Roman"/>
          <w:sz w:val="24"/>
          <w:szCs w:val="24"/>
          <w:shd w:val="clear" w:color="auto" w:fill="FFFFFF"/>
        </w:rPr>
      </w:pPr>
    </w:p>
    <w:p w14:paraId="30880E2D" w14:textId="7BE692D7" w:rsidR="00131269" w:rsidRPr="00D9651B" w:rsidRDefault="00131269" w:rsidP="00131269">
      <w:pPr>
        <w:pStyle w:val="NoSpacing"/>
        <w:spacing w:line="480" w:lineRule="auto"/>
        <w:ind w:firstLine="720"/>
        <w:jc w:val="both"/>
        <w:rPr>
          <w:rFonts w:ascii="Times New Roman" w:hAnsi="Times New Roman" w:cs="Times New Roman"/>
          <w:sz w:val="24"/>
          <w:szCs w:val="24"/>
          <w:shd w:val="clear" w:color="auto" w:fill="FFFFFF"/>
        </w:rPr>
      </w:pPr>
      <w:r w:rsidRPr="00D9651B">
        <w:rPr>
          <w:rFonts w:ascii="Times New Roman" w:hAnsi="Times New Roman" w:cs="Times New Roman"/>
          <w:sz w:val="24"/>
          <w:szCs w:val="24"/>
          <w:shd w:val="clear" w:color="auto" w:fill="FFFFFF"/>
        </w:rPr>
        <w:t xml:space="preserve">The Libertarian National Committee </w:t>
      </w:r>
      <w:r w:rsidR="00F17280" w:rsidRPr="00D9651B">
        <w:rPr>
          <w:rFonts w:ascii="Times New Roman" w:hAnsi="Times New Roman" w:cs="Times New Roman"/>
          <w:sz w:val="24"/>
          <w:szCs w:val="24"/>
          <w:shd w:val="clear" w:color="auto" w:fill="FFFFFF"/>
        </w:rPr>
        <w:t xml:space="preserve">(“LNC”) </w:t>
      </w:r>
      <w:r w:rsidRPr="00D9651B">
        <w:rPr>
          <w:rFonts w:ascii="Times New Roman" w:hAnsi="Times New Roman" w:cs="Times New Roman"/>
          <w:sz w:val="24"/>
          <w:szCs w:val="24"/>
          <w:shd w:val="clear" w:color="auto" w:fill="FFFFFF"/>
        </w:rPr>
        <w:t>is the governing body of the Libertarian Party, the third-largest political party in the United States. The Libertarian Party was founded in 1971 to promote the principles of liberty set forth in the party’s Statement of Principles.</w:t>
      </w:r>
      <w:r w:rsidRPr="00D9651B">
        <w:rPr>
          <w:rStyle w:val="FootnoteReference"/>
          <w:rFonts w:ascii="Times New Roman" w:hAnsi="Times New Roman" w:cs="Times New Roman"/>
          <w:sz w:val="24"/>
          <w:szCs w:val="24"/>
          <w:shd w:val="clear" w:color="auto" w:fill="FFFFFF"/>
        </w:rPr>
        <w:footnoteReference w:id="2"/>
      </w:r>
      <w:r w:rsidRPr="00D9651B">
        <w:rPr>
          <w:rFonts w:ascii="Times New Roman" w:hAnsi="Times New Roman" w:cs="Times New Roman"/>
          <w:sz w:val="24"/>
          <w:szCs w:val="24"/>
          <w:shd w:val="clear" w:color="auto" w:fill="FFFFFF"/>
        </w:rPr>
        <w:t xml:space="preserve"> The Libertarian Party’s interests are frequently implicated by state election laws, including those that burden candidates and voters who seek to participate in the political process without joining the Democratic Party or the Republican Party. Accordingly, the Libertarian Party and its state affiliates have repeatedly presented their views on such issues to this Court, both as a party (for example, in </w:t>
      </w:r>
      <w:r w:rsidRPr="00D9651B">
        <w:rPr>
          <w:rFonts w:ascii="Times New Roman" w:hAnsi="Times New Roman" w:cs="Times New Roman"/>
          <w:i/>
          <w:iCs/>
          <w:sz w:val="24"/>
          <w:szCs w:val="24"/>
          <w:shd w:val="clear" w:color="auto" w:fill="FFFFFF"/>
        </w:rPr>
        <w:t>Washington State Grange v.</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Washington State Republican Party</w:t>
      </w:r>
      <w:r w:rsidRPr="00D9651B">
        <w:rPr>
          <w:rFonts w:ascii="Times New Roman" w:hAnsi="Times New Roman" w:cs="Times New Roman"/>
          <w:sz w:val="24"/>
          <w:szCs w:val="24"/>
          <w:shd w:val="clear" w:color="auto" w:fill="FFFFFF"/>
        </w:rPr>
        <w:t xml:space="preserve">, 552 U.S. 442 (2008), and </w:t>
      </w:r>
      <w:r w:rsidRPr="00D9651B">
        <w:rPr>
          <w:rFonts w:ascii="Times New Roman" w:hAnsi="Times New Roman" w:cs="Times New Roman"/>
          <w:i/>
          <w:iCs/>
          <w:sz w:val="24"/>
          <w:szCs w:val="24"/>
          <w:shd w:val="clear" w:color="auto" w:fill="FFFFFF"/>
        </w:rPr>
        <w:t>Clingman v.</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Beaver</w:t>
      </w:r>
      <w:r w:rsidRPr="00D9651B">
        <w:rPr>
          <w:rFonts w:ascii="Times New Roman" w:hAnsi="Times New Roman" w:cs="Times New Roman"/>
          <w:sz w:val="24"/>
          <w:szCs w:val="24"/>
          <w:shd w:val="clear" w:color="auto" w:fill="FFFFFF"/>
        </w:rPr>
        <w:t xml:space="preserve">, 544 U.S. 581 (2005)) and as an amicus (for example, in </w:t>
      </w:r>
      <w:r w:rsidRPr="00D9651B">
        <w:rPr>
          <w:rFonts w:ascii="Times New Roman" w:hAnsi="Times New Roman" w:cs="Times New Roman"/>
          <w:i/>
          <w:iCs/>
          <w:sz w:val="24"/>
          <w:szCs w:val="24"/>
          <w:shd w:val="clear" w:color="auto" w:fill="FFFFFF"/>
        </w:rPr>
        <w:t>Burdick v.</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Takushi</w:t>
      </w:r>
      <w:r w:rsidRPr="00D9651B">
        <w:rPr>
          <w:rFonts w:ascii="Times New Roman" w:hAnsi="Times New Roman" w:cs="Times New Roman"/>
          <w:sz w:val="24"/>
          <w:szCs w:val="24"/>
          <w:shd w:val="clear" w:color="auto" w:fill="FFFFFF"/>
        </w:rPr>
        <w:t xml:space="preserve">, 504 U.S. 428 (1992), </w:t>
      </w:r>
      <w:r w:rsidRPr="00D9651B">
        <w:rPr>
          <w:rFonts w:ascii="Times New Roman" w:hAnsi="Times New Roman" w:cs="Times New Roman"/>
          <w:i/>
          <w:iCs/>
          <w:sz w:val="24"/>
          <w:szCs w:val="24"/>
          <w:shd w:val="clear" w:color="auto" w:fill="FFFFFF"/>
        </w:rPr>
        <w:t>Munro v.</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Socialist Workers Party</w:t>
      </w:r>
      <w:r w:rsidRPr="00D9651B">
        <w:rPr>
          <w:rFonts w:ascii="Times New Roman" w:hAnsi="Times New Roman" w:cs="Times New Roman"/>
          <w:sz w:val="24"/>
          <w:szCs w:val="24"/>
          <w:shd w:val="clear" w:color="auto" w:fill="FFFFFF"/>
        </w:rPr>
        <w:t xml:space="preserve">, 479 U.S. 189 (1986), and </w:t>
      </w:r>
      <w:r w:rsidRPr="00D9651B">
        <w:rPr>
          <w:rFonts w:ascii="Times New Roman" w:hAnsi="Times New Roman" w:cs="Times New Roman"/>
          <w:i/>
          <w:iCs/>
          <w:sz w:val="24"/>
          <w:szCs w:val="24"/>
          <w:shd w:val="clear" w:color="auto" w:fill="FFFFFF"/>
        </w:rPr>
        <w:t>Anderson v.</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Celebrezze</w:t>
      </w:r>
      <w:r w:rsidRPr="00D9651B">
        <w:rPr>
          <w:rFonts w:ascii="Times New Roman" w:hAnsi="Times New Roman" w:cs="Times New Roman"/>
          <w:sz w:val="24"/>
          <w:szCs w:val="24"/>
          <w:shd w:val="clear" w:color="auto" w:fill="FFFFFF"/>
        </w:rPr>
        <w:t>, 460 U.S. 780 (1983)).</w:t>
      </w:r>
    </w:p>
    <w:p w14:paraId="6E94972E" w14:textId="77777777" w:rsidR="00131269" w:rsidRPr="00D9651B" w:rsidRDefault="00131269" w:rsidP="00131269">
      <w:pPr>
        <w:pStyle w:val="NoSpacing"/>
        <w:spacing w:line="480" w:lineRule="auto"/>
        <w:ind w:firstLine="720"/>
        <w:jc w:val="both"/>
        <w:rPr>
          <w:rFonts w:ascii="Times New Roman" w:hAnsi="Times New Roman" w:cs="Times New Roman"/>
          <w:sz w:val="24"/>
          <w:szCs w:val="24"/>
          <w:shd w:val="clear" w:color="auto" w:fill="FFFFFF"/>
        </w:rPr>
      </w:pPr>
      <w:r w:rsidRPr="00D9651B">
        <w:rPr>
          <w:rFonts w:ascii="Times New Roman" w:hAnsi="Times New Roman" w:cs="Times New Roman"/>
          <w:sz w:val="24"/>
          <w:szCs w:val="24"/>
          <w:shd w:val="clear" w:color="auto" w:fill="FFFFFF"/>
        </w:rPr>
        <w:t xml:space="preserve">The Libertarian Party has a direct interest in this case, in that members of the Libertarian Party reside in the State of Delaware and are registered to vote as Libertarian. </w:t>
      </w:r>
      <w:r w:rsidRPr="00D9651B">
        <w:rPr>
          <w:rFonts w:ascii="Times New Roman" w:hAnsi="Times New Roman" w:cs="Times New Roman"/>
          <w:i/>
          <w:iCs/>
          <w:sz w:val="24"/>
          <w:szCs w:val="24"/>
          <w:shd w:val="clear" w:color="auto" w:fill="FFFFFF"/>
        </w:rPr>
        <w:t xml:space="preserve">See </w:t>
      </w:r>
      <w:r w:rsidRPr="00D9651B">
        <w:rPr>
          <w:rFonts w:ascii="Times New Roman" w:hAnsi="Times New Roman" w:cs="Times New Roman"/>
          <w:sz w:val="24"/>
          <w:szCs w:val="24"/>
          <w:shd w:val="clear" w:color="auto" w:fill="FFFFFF"/>
        </w:rPr>
        <w:t xml:space="preserve">State of Delaware Department of Elections, </w:t>
      </w:r>
      <w:r w:rsidRPr="00D9651B">
        <w:rPr>
          <w:rFonts w:ascii="Times New Roman" w:hAnsi="Times New Roman" w:cs="Times New Roman"/>
          <w:i/>
          <w:iCs/>
          <w:sz w:val="24"/>
          <w:szCs w:val="24"/>
          <w:shd w:val="clear" w:color="auto" w:fill="FFFFFF"/>
        </w:rPr>
        <w:t>Voter Registration Totals By Political Party</w:t>
      </w:r>
      <w:r w:rsidRPr="00D9651B">
        <w:rPr>
          <w:rFonts w:ascii="Times New Roman" w:hAnsi="Times New Roman" w:cs="Times New Roman"/>
          <w:sz w:val="24"/>
          <w:szCs w:val="24"/>
          <w:shd w:val="clear" w:color="auto" w:fill="FFFFFF"/>
        </w:rPr>
        <w:t>,</w:t>
      </w:r>
      <w:r w:rsidRPr="00D9651B">
        <w:rPr>
          <w:rFonts w:ascii="Times New Roman" w:hAnsi="Times New Roman" w:cs="Times New Roman"/>
          <w:i/>
          <w:iCs/>
          <w:sz w:val="24"/>
          <w:szCs w:val="24"/>
          <w:shd w:val="clear" w:color="auto" w:fill="FFFFFF"/>
        </w:rPr>
        <w:t xml:space="preserve"> </w:t>
      </w:r>
      <w:r w:rsidRPr="00D9651B">
        <w:rPr>
          <w:rFonts w:ascii="Times New Roman" w:hAnsi="Times New Roman" w:cs="Times New Roman"/>
          <w:sz w:val="24"/>
          <w:szCs w:val="24"/>
          <w:shd w:val="clear" w:color="auto" w:fill="FFFFFF"/>
        </w:rPr>
        <w:t xml:space="preserve">available at </w:t>
      </w:r>
      <w:hyperlink r:id="rId7" w:history="1">
        <w:r w:rsidRPr="00D9651B">
          <w:rPr>
            <w:rStyle w:val="Hyperlink"/>
            <w:rFonts w:ascii="Times New Roman" w:hAnsi="Times New Roman" w:cs="Times New Roman"/>
            <w:sz w:val="24"/>
            <w:szCs w:val="24"/>
            <w:shd w:val="clear" w:color="auto" w:fill="FFFFFF"/>
          </w:rPr>
          <w:t>https://elections.delaware.gov/reports/e70r2601pty_20200215.shtml</w:t>
        </w:r>
      </w:hyperlink>
      <w:r w:rsidRPr="00D9651B">
        <w:rPr>
          <w:rFonts w:ascii="Times New Roman" w:hAnsi="Times New Roman" w:cs="Times New Roman"/>
          <w:sz w:val="24"/>
          <w:szCs w:val="24"/>
          <w:shd w:val="clear" w:color="auto" w:fill="FFFFFF"/>
        </w:rPr>
        <w:t xml:space="preserve"> (last visited February 20, 2020). By operation of Article IV, Section 3 of the Delaware Constitution, these citizens are prohibited from serving as Justices of the Delaware Supreme Court, Chancellors or Vice-Chancellors of the Delaware Court of Chancery, or Judges of the Delaware Superior Court. Such prohibition harms not only the core First Amendment rights of the Libertarian voters subject to it, </w:t>
      </w:r>
      <w:r w:rsidRPr="00D9651B">
        <w:rPr>
          <w:rFonts w:ascii="Times New Roman" w:hAnsi="Times New Roman" w:cs="Times New Roman"/>
          <w:sz w:val="24"/>
          <w:szCs w:val="24"/>
          <w:shd w:val="clear" w:color="auto" w:fill="FFFFFF"/>
        </w:rPr>
        <w:lastRenderedPageBreak/>
        <w:t xml:space="preserve">but also those of the Libertarian Party. The Libertarian Party cannot exercise its freedom to develop and grow as a party, and to participate in all aspects of the political and electoral processes in Delaware on an equal basis with the “major” parties, when its members are prohibited by virtue of their partisan affiliation from serving as members of these courts. </w:t>
      </w:r>
    </w:p>
    <w:p w14:paraId="5578C0D0" w14:textId="77777777" w:rsidR="00131269" w:rsidRPr="00D9651B" w:rsidRDefault="00131269" w:rsidP="00131269">
      <w:pPr>
        <w:pStyle w:val="NoSpacing"/>
        <w:spacing w:line="480" w:lineRule="auto"/>
        <w:ind w:firstLine="720"/>
        <w:jc w:val="both"/>
        <w:rPr>
          <w:rFonts w:ascii="Times New Roman" w:hAnsi="Times New Roman" w:cs="Times New Roman"/>
          <w:sz w:val="24"/>
          <w:szCs w:val="24"/>
          <w:shd w:val="clear" w:color="auto" w:fill="FFFFFF"/>
        </w:rPr>
      </w:pPr>
      <w:r w:rsidRPr="00D9651B">
        <w:rPr>
          <w:rFonts w:ascii="Times New Roman" w:hAnsi="Times New Roman" w:cs="Times New Roman"/>
          <w:sz w:val="24"/>
          <w:szCs w:val="24"/>
          <w:shd w:val="clear" w:color="auto" w:fill="FFFFFF"/>
        </w:rPr>
        <w:t xml:space="preserve">Further, in each election cycle, the Libertarian Party runs hundreds of candidates nationwide for local, state and federal office. There are currently no fewer than 231 Libertarian Party members who serve in public office in the United States, either because they were elected or because they were appointed to their offices. </w:t>
      </w:r>
      <w:r w:rsidRPr="00D9651B">
        <w:rPr>
          <w:rFonts w:ascii="Times New Roman" w:hAnsi="Times New Roman" w:cs="Times New Roman"/>
          <w:i/>
          <w:iCs/>
          <w:sz w:val="24"/>
          <w:szCs w:val="24"/>
          <w:shd w:val="clear" w:color="auto" w:fill="FFFFFF"/>
        </w:rPr>
        <w:t xml:space="preserve">See </w:t>
      </w:r>
      <w:r w:rsidRPr="00D9651B">
        <w:rPr>
          <w:rFonts w:ascii="Times New Roman" w:hAnsi="Times New Roman" w:cs="Times New Roman"/>
          <w:sz w:val="24"/>
          <w:szCs w:val="24"/>
          <w:shd w:val="clear" w:color="auto" w:fill="FFFFFF"/>
        </w:rPr>
        <w:t xml:space="preserve">Libertarian Party, </w:t>
      </w:r>
      <w:r w:rsidRPr="00D9651B">
        <w:rPr>
          <w:rFonts w:ascii="Times New Roman" w:hAnsi="Times New Roman" w:cs="Times New Roman"/>
          <w:i/>
          <w:iCs/>
          <w:sz w:val="24"/>
          <w:szCs w:val="24"/>
          <w:shd w:val="clear" w:color="auto" w:fill="FFFFFF"/>
        </w:rPr>
        <w:t>Elected Officials</w:t>
      </w:r>
      <w:r w:rsidRPr="00D9651B">
        <w:rPr>
          <w:rFonts w:ascii="Times New Roman" w:hAnsi="Times New Roman" w:cs="Times New Roman"/>
          <w:sz w:val="24"/>
          <w:szCs w:val="24"/>
          <w:shd w:val="clear" w:color="auto" w:fill="FFFFFF"/>
        </w:rPr>
        <w:t xml:space="preserve">, available at </w:t>
      </w:r>
      <w:hyperlink r:id="rId8" w:history="1">
        <w:r w:rsidRPr="00D9651B">
          <w:rPr>
            <w:rStyle w:val="Hyperlink"/>
            <w:rFonts w:ascii="Times New Roman" w:hAnsi="Times New Roman" w:cs="Times New Roman"/>
            <w:sz w:val="24"/>
            <w:szCs w:val="24"/>
            <w:shd w:val="clear" w:color="auto" w:fill="FFFFFF"/>
          </w:rPr>
          <w:t>https://my.lp.org/elected-officials/?page=CiviCRM&amp;q=civicrm/profile&amp;gid=38&amp;force=1&amp;crmRowCount=100&amp;reset=1</w:t>
        </w:r>
      </w:hyperlink>
      <w:r w:rsidRPr="00D9651B">
        <w:rPr>
          <w:rFonts w:ascii="Times New Roman" w:hAnsi="Times New Roman" w:cs="Times New Roman"/>
          <w:sz w:val="24"/>
          <w:szCs w:val="24"/>
          <w:shd w:val="clear" w:color="auto" w:fill="FFFFFF"/>
        </w:rPr>
        <w:t xml:space="preserve"> (last visited February 20, 2020). Libertarians have also been elected and appointed to state judicial offices. </w:t>
      </w:r>
      <w:r w:rsidRPr="00D9651B">
        <w:rPr>
          <w:rFonts w:ascii="Times New Roman" w:hAnsi="Times New Roman" w:cs="Times New Roman"/>
          <w:i/>
          <w:iCs/>
          <w:sz w:val="24"/>
          <w:szCs w:val="24"/>
          <w:shd w:val="clear" w:color="auto" w:fill="FFFFFF"/>
        </w:rPr>
        <w:t>See</w:t>
      </w:r>
      <w:r w:rsidRPr="00D9651B">
        <w:rPr>
          <w:rFonts w:ascii="Times New Roman" w:hAnsi="Times New Roman" w:cs="Times New Roman"/>
          <w:sz w:val="24"/>
          <w:szCs w:val="24"/>
          <w:shd w:val="clear" w:color="auto" w:fill="FFFFFF"/>
        </w:rPr>
        <w:t xml:space="preserve">, </w:t>
      </w:r>
      <w:r w:rsidRPr="00D9651B">
        <w:rPr>
          <w:rFonts w:ascii="Times New Roman" w:hAnsi="Times New Roman" w:cs="Times New Roman"/>
          <w:i/>
          <w:iCs/>
          <w:sz w:val="24"/>
          <w:szCs w:val="24"/>
          <w:shd w:val="clear" w:color="auto" w:fill="FFFFFF"/>
        </w:rPr>
        <w:t>e.g.</w:t>
      </w:r>
      <w:r w:rsidRPr="00D9651B">
        <w:rPr>
          <w:rFonts w:ascii="Times New Roman" w:hAnsi="Times New Roman" w:cs="Times New Roman"/>
          <w:sz w:val="24"/>
          <w:szCs w:val="24"/>
          <w:shd w:val="clear" w:color="auto" w:fill="FFFFFF"/>
        </w:rPr>
        <w:t xml:space="preserve">, Our Campaigns, </w:t>
      </w:r>
      <w:r w:rsidRPr="00D9651B">
        <w:rPr>
          <w:rFonts w:ascii="Times New Roman" w:hAnsi="Times New Roman" w:cs="Times New Roman"/>
          <w:i/>
          <w:iCs/>
          <w:sz w:val="24"/>
          <w:szCs w:val="24"/>
          <w:shd w:val="clear" w:color="auto" w:fill="FFFFFF"/>
        </w:rPr>
        <w:t>Buttrick, John</w:t>
      </w:r>
      <w:r w:rsidRPr="00D9651B">
        <w:rPr>
          <w:rFonts w:ascii="Times New Roman" w:hAnsi="Times New Roman" w:cs="Times New Roman"/>
          <w:sz w:val="24"/>
          <w:szCs w:val="24"/>
          <w:shd w:val="clear" w:color="auto" w:fill="FFFFFF"/>
        </w:rPr>
        <w:t xml:space="preserve">, available at </w:t>
      </w:r>
      <w:hyperlink r:id="rId9" w:history="1">
        <w:r w:rsidRPr="00D9651B">
          <w:rPr>
            <w:rStyle w:val="Hyperlink"/>
            <w:rFonts w:ascii="Times New Roman" w:hAnsi="Times New Roman" w:cs="Times New Roman"/>
            <w:sz w:val="24"/>
            <w:szCs w:val="24"/>
            <w:shd w:val="clear" w:color="auto" w:fill="FFFFFF"/>
          </w:rPr>
          <w:t>https://www.ourcampaigns.com/CandidateDetail.html?CandidateID=4814</w:t>
        </w:r>
      </w:hyperlink>
      <w:r w:rsidRPr="00D9651B">
        <w:rPr>
          <w:rFonts w:ascii="Times New Roman" w:hAnsi="Times New Roman" w:cs="Times New Roman"/>
          <w:sz w:val="24"/>
          <w:szCs w:val="24"/>
          <w:shd w:val="clear" w:color="auto" w:fill="FFFFFF"/>
        </w:rPr>
        <w:t xml:space="preserve"> (last visited February 20, 2020). If other states adopted prohibitions like the one in Article IV, Section 3 of the Delaware Constitution, or expanded upon it, the ability of these Libertarians to continue their service in public office would be jeopardized. Such a result would imperil the “basic function” of the Libertarian Party, “to select the candidates for public office to be offered to the voters at general elections.” </w:t>
      </w:r>
      <w:r w:rsidRPr="00D9651B">
        <w:rPr>
          <w:rFonts w:ascii="Times New Roman" w:hAnsi="Times New Roman" w:cs="Times New Roman"/>
          <w:i/>
          <w:iCs/>
          <w:sz w:val="24"/>
          <w:szCs w:val="24"/>
          <w:shd w:val="clear" w:color="auto" w:fill="FFFFFF"/>
        </w:rPr>
        <w:t>Kusper v. Pontikes</w:t>
      </w:r>
      <w:r w:rsidRPr="00D9651B">
        <w:rPr>
          <w:rFonts w:ascii="Times New Roman" w:hAnsi="Times New Roman" w:cs="Times New Roman"/>
          <w:sz w:val="24"/>
          <w:szCs w:val="24"/>
          <w:shd w:val="clear" w:color="auto" w:fill="FFFFFF"/>
        </w:rPr>
        <w:t>, 414 U.S. 51, 58 (1973).</w:t>
      </w:r>
    </w:p>
    <w:p w14:paraId="1489C435" w14:textId="77777777" w:rsidR="00131269" w:rsidRPr="00D9651B" w:rsidRDefault="00131269" w:rsidP="00131269">
      <w:pPr>
        <w:pStyle w:val="NoSpacing"/>
        <w:spacing w:line="480" w:lineRule="auto"/>
        <w:ind w:firstLine="720"/>
        <w:jc w:val="both"/>
        <w:rPr>
          <w:rFonts w:ascii="Times New Roman" w:hAnsi="Times New Roman" w:cs="Times New Roman"/>
          <w:sz w:val="24"/>
          <w:szCs w:val="24"/>
          <w:shd w:val="clear" w:color="auto" w:fill="FFFFFF"/>
        </w:rPr>
      </w:pPr>
      <w:r w:rsidRPr="00D9651B">
        <w:rPr>
          <w:rFonts w:ascii="Times New Roman" w:hAnsi="Times New Roman" w:cs="Times New Roman"/>
          <w:sz w:val="24"/>
          <w:szCs w:val="24"/>
          <w:shd w:val="clear" w:color="auto" w:fill="FFFFFF"/>
        </w:rPr>
        <w:t xml:space="preserve">The Libertarian Party therefore submits this brief as </w:t>
      </w:r>
      <w:r w:rsidRPr="00D9651B">
        <w:rPr>
          <w:rFonts w:ascii="Times New Roman" w:hAnsi="Times New Roman" w:cs="Times New Roman"/>
          <w:i/>
          <w:iCs/>
          <w:sz w:val="24"/>
          <w:szCs w:val="24"/>
          <w:shd w:val="clear" w:color="auto" w:fill="FFFFFF"/>
        </w:rPr>
        <w:t>amicus curiae</w:t>
      </w:r>
      <w:r w:rsidRPr="00D9651B">
        <w:rPr>
          <w:rFonts w:ascii="Times New Roman" w:hAnsi="Times New Roman" w:cs="Times New Roman"/>
          <w:sz w:val="24"/>
          <w:szCs w:val="24"/>
          <w:shd w:val="clear" w:color="auto" w:fill="FFFFFF"/>
        </w:rPr>
        <w:t xml:space="preserve"> in support of Respondent, because the prohibition set forth in Article IV, Section 3 of the Delaware Constitution violates the First Amendment. </w:t>
      </w:r>
    </w:p>
    <w:p w14:paraId="0438D42A" w14:textId="77777777" w:rsidR="00131269" w:rsidRPr="00D9651B" w:rsidRDefault="00131269" w:rsidP="00131269">
      <w:pPr>
        <w:pStyle w:val="NoSpacing"/>
        <w:spacing w:line="480" w:lineRule="auto"/>
        <w:jc w:val="center"/>
        <w:rPr>
          <w:rFonts w:ascii="Times New Roman" w:hAnsi="Times New Roman" w:cs="Times New Roman"/>
          <w:b/>
          <w:bCs/>
          <w:sz w:val="24"/>
          <w:szCs w:val="24"/>
          <w:shd w:val="clear" w:color="auto" w:fill="FFFFFF"/>
        </w:rPr>
      </w:pPr>
      <w:r w:rsidRPr="00D9651B">
        <w:rPr>
          <w:rFonts w:ascii="Times New Roman" w:hAnsi="Times New Roman" w:cs="Times New Roman"/>
          <w:b/>
          <w:bCs/>
          <w:sz w:val="24"/>
          <w:szCs w:val="24"/>
          <w:shd w:val="clear" w:color="auto" w:fill="FFFFFF"/>
        </w:rPr>
        <w:t>INTRODUCTION AND SUMMARY OF ARGUMENT</w:t>
      </w:r>
    </w:p>
    <w:p w14:paraId="132FF77F" w14:textId="77777777" w:rsidR="00131269" w:rsidRPr="00D9651B" w:rsidRDefault="00131269" w:rsidP="00131269">
      <w:pPr>
        <w:pStyle w:val="NoSpacing"/>
        <w:spacing w:line="480" w:lineRule="auto"/>
        <w:ind w:firstLine="720"/>
        <w:jc w:val="both"/>
        <w:rPr>
          <w:rFonts w:ascii="Times New Roman" w:hAnsi="Times New Roman" w:cs="Times New Roman"/>
          <w:sz w:val="24"/>
          <w:szCs w:val="24"/>
          <w:shd w:val="clear" w:color="auto" w:fill="FFFFFF"/>
        </w:rPr>
      </w:pPr>
    </w:p>
    <w:p w14:paraId="32368B5E" w14:textId="77777777" w:rsidR="00131269" w:rsidRPr="00D9651B" w:rsidRDefault="00131269" w:rsidP="00131269">
      <w:pPr>
        <w:pStyle w:val="NoSpacing"/>
        <w:spacing w:line="480" w:lineRule="auto"/>
        <w:jc w:val="center"/>
        <w:rPr>
          <w:rFonts w:ascii="Times New Roman" w:hAnsi="Times New Roman" w:cs="Times New Roman"/>
          <w:b/>
          <w:bCs/>
          <w:sz w:val="24"/>
          <w:szCs w:val="24"/>
          <w:shd w:val="clear" w:color="auto" w:fill="FFFFFF"/>
        </w:rPr>
      </w:pPr>
      <w:r w:rsidRPr="00D9651B">
        <w:rPr>
          <w:rFonts w:ascii="Times New Roman" w:hAnsi="Times New Roman" w:cs="Times New Roman"/>
          <w:b/>
          <w:bCs/>
          <w:sz w:val="24"/>
          <w:szCs w:val="24"/>
          <w:shd w:val="clear" w:color="auto" w:fill="FFFFFF"/>
        </w:rPr>
        <w:lastRenderedPageBreak/>
        <w:t>ARGUMENT</w:t>
      </w:r>
    </w:p>
    <w:p w14:paraId="018D3EA6" w14:textId="1DBC7521" w:rsidR="00814A77" w:rsidRPr="00D9651B" w:rsidRDefault="00B3578B" w:rsidP="00B3578B">
      <w:pPr>
        <w:pStyle w:val="Heading1"/>
        <w:ind w:left="1440" w:hanging="720"/>
        <w:jc w:val="both"/>
        <w:rPr>
          <w:rFonts w:ascii="Times New Roman" w:hAnsi="Times New Roman" w:cs="Times New Roman"/>
          <w:szCs w:val="24"/>
        </w:rPr>
      </w:pPr>
      <w:r w:rsidRPr="00D9651B">
        <w:rPr>
          <w:rFonts w:ascii="Times New Roman" w:hAnsi="Times New Roman" w:cs="Times New Roman"/>
          <w:szCs w:val="24"/>
        </w:rPr>
        <w:t xml:space="preserve">THE TWO-PARTY PROVISION VIOLATES LIBERTARIAN </w:t>
      </w:r>
      <w:r w:rsidR="00DC7B2C" w:rsidRPr="00D9651B">
        <w:rPr>
          <w:rFonts w:ascii="Times New Roman" w:hAnsi="Times New Roman" w:cs="Times New Roman"/>
          <w:szCs w:val="24"/>
        </w:rPr>
        <w:t>PARTY MEMBERS</w:t>
      </w:r>
      <w:r w:rsidRPr="00D9651B">
        <w:rPr>
          <w:rFonts w:ascii="Times New Roman" w:hAnsi="Times New Roman" w:cs="Times New Roman"/>
          <w:szCs w:val="24"/>
        </w:rPr>
        <w:t xml:space="preserve">’ </w:t>
      </w:r>
      <w:r w:rsidR="00DC7B2C" w:rsidRPr="00D9651B">
        <w:rPr>
          <w:rFonts w:ascii="Times New Roman" w:hAnsi="Times New Roman" w:cs="Times New Roman"/>
          <w:szCs w:val="24"/>
        </w:rPr>
        <w:t>CONSTITUTIONAL</w:t>
      </w:r>
      <w:r w:rsidRPr="00D9651B">
        <w:rPr>
          <w:rFonts w:ascii="Times New Roman" w:hAnsi="Times New Roman" w:cs="Times New Roman"/>
          <w:szCs w:val="24"/>
        </w:rPr>
        <w:t xml:space="preserve"> RIGHTS.</w:t>
      </w:r>
    </w:p>
    <w:p w14:paraId="290FDF65" w14:textId="60F9DE30" w:rsidR="00B3578B" w:rsidRPr="00D9651B" w:rsidRDefault="00B3578B" w:rsidP="00B3578B">
      <w:pPr>
        <w:rPr>
          <w:rFonts w:cs="Times New Roman"/>
          <w:szCs w:val="24"/>
        </w:rPr>
      </w:pPr>
    </w:p>
    <w:p w14:paraId="6CCDAFA0" w14:textId="6BEEF340" w:rsidR="00B3578B" w:rsidRPr="00D9651B" w:rsidRDefault="008C6726" w:rsidP="008C6726">
      <w:pPr>
        <w:spacing w:line="480" w:lineRule="auto"/>
        <w:ind w:firstLine="720"/>
        <w:jc w:val="both"/>
        <w:rPr>
          <w:rFonts w:cs="Times New Roman"/>
          <w:szCs w:val="24"/>
        </w:rPr>
      </w:pPr>
      <w:r w:rsidRPr="00D9651B">
        <w:rPr>
          <w:rFonts w:cs="Times New Roman"/>
          <w:szCs w:val="24"/>
        </w:rPr>
        <w:t>Does the Constitution of the United States of America permit the State of Delaware to prohibit members of the Republican Party or the Democratic Party from serving as</w:t>
      </w:r>
      <w:r w:rsidR="005A5510" w:rsidRPr="00D9651B">
        <w:rPr>
          <w:rFonts w:cs="Times New Roman"/>
          <w:szCs w:val="24"/>
        </w:rPr>
        <w:t xml:space="preserve"> judicial officers</w:t>
      </w:r>
      <w:r w:rsidRPr="00D9651B">
        <w:rPr>
          <w:rFonts w:cs="Times New Roman"/>
          <w:szCs w:val="24"/>
        </w:rPr>
        <w:t xml:space="preserve"> of the Delaware state courts? It does not. “[C]onstitutional protection does extend to the public servant whose exclusion pursuant to a statute is patently arbitrary or discriminatory.” </w:t>
      </w:r>
      <w:r w:rsidRPr="00D9651B">
        <w:rPr>
          <w:rFonts w:cs="Times New Roman"/>
          <w:i/>
          <w:iCs/>
          <w:szCs w:val="24"/>
        </w:rPr>
        <w:t>Wieman v. Updegraff</w:t>
      </w:r>
      <w:r w:rsidRPr="00D9651B">
        <w:rPr>
          <w:rFonts w:cs="Times New Roman"/>
          <w:szCs w:val="24"/>
        </w:rPr>
        <w:t>, 344 U</w:t>
      </w:r>
      <w:r w:rsidR="00105585" w:rsidRPr="00D9651B">
        <w:rPr>
          <w:rFonts w:cs="Times New Roman"/>
          <w:szCs w:val="24"/>
        </w:rPr>
        <w:t>.</w:t>
      </w:r>
      <w:r w:rsidRPr="00D9651B">
        <w:rPr>
          <w:rFonts w:cs="Times New Roman"/>
          <w:szCs w:val="24"/>
        </w:rPr>
        <w:t>S</w:t>
      </w:r>
      <w:r w:rsidR="00105585" w:rsidRPr="00D9651B">
        <w:rPr>
          <w:rFonts w:cs="Times New Roman"/>
          <w:szCs w:val="24"/>
        </w:rPr>
        <w:t xml:space="preserve">. </w:t>
      </w:r>
      <w:r w:rsidRPr="00D9651B">
        <w:rPr>
          <w:rFonts w:cs="Times New Roman"/>
          <w:szCs w:val="24"/>
        </w:rPr>
        <w:t>183</w:t>
      </w:r>
      <w:r w:rsidRPr="00D9651B">
        <w:rPr>
          <w:rFonts w:cs="Times New Roman"/>
          <w:szCs w:val="24"/>
        </w:rPr>
        <w:t xml:space="preserve">, 192 (1952). Thus, while this Court has held that the federal government </w:t>
      </w:r>
      <w:r w:rsidR="00105585" w:rsidRPr="00D9651B">
        <w:rPr>
          <w:rFonts w:cs="Times New Roman"/>
          <w:szCs w:val="24"/>
        </w:rPr>
        <w:t>may “</w:t>
      </w:r>
      <w:r w:rsidR="00105585" w:rsidRPr="00D9651B">
        <w:rPr>
          <w:rFonts w:cs="Times New Roman"/>
          <w:szCs w:val="24"/>
        </w:rPr>
        <w:t>properly bar its employees from certain types of political activity thought inimical to the interests of the Civil Service,</w:t>
      </w:r>
      <w:r w:rsidR="00105585" w:rsidRPr="00D9651B">
        <w:rPr>
          <w:rFonts w:cs="Times New Roman"/>
          <w:szCs w:val="24"/>
        </w:rPr>
        <w:t xml:space="preserve">” it found it necessary to “cast this holding into perspective by </w:t>
      </w:r>
      <w:r w:rsidR="00105585" w:rsidRPr="00D9651B">
        <w:rPr>
          <w:rFonts w:cs="Times New Roman"/>
          <w:szCs w:val="24"/>
        </w:rPr>
        <w:t xml:space="preserve">emphasizing that Congress could not </w:t>
      </w:r>
      <w:r w:rsidR="00105585" w:rsidRPr="00D9651B">
        <w:rPr>
          <w:rFonts w:cs="Times New Roman"/>
          <w:szCs w:val="24"/>
        </w:rPr>
        <w:t>‘</w:t>
      </w:r>
      <w:r w:rsidR="00105585" w:rsidRPr="00D9651B">
        <w:rPr>
          <w:rFonts w:cs="Times New Roman"/>
          <w:szCs w:val="24"/>
        </w:rPr>
        <w:t>enact a regulation providing that no Republican, Jew or Negro shall be appointed to federa</w:t>
      </w:r>
      <w:r w:rsidR="00105585" w:rsidRPr="00D9651B">
        <w:rPr>
          <w:rFonts w:cs="Times New Roman"/>
          <w:szCs w:val="24"/>
        </w:rPr>
        <w:t>l</w:t>
      </w:r>
      <w:r w:rsidR="00105585" w:rsidRPr="00D9651B">
        <w:rPr>
          <w:rFonts w:cs="Times New Roman"/>
          <w:szCs w:val="24"/>
        </w:rPr>
        <w:t xml:space="preserve"> office, or that no federal employee shall attend Mass or take any active part in missionary work.</w:t>
      </w:r>
      <w:r w:rsidR="00105585" w:rsidRPr="00D9651B">
        <w:rPr>
          <w:rFonts w:cs="Times New Roman"/>
          <w:szCs w:val="24"/>
        </w:rPr>
        <w:t xml:space="preserve">’” </w:t>
      </w:r>
      <w:r w:rsidR="00105585" w:rsidRPr="00D9651B">
        <w:rPr>
          <w:rFonts w:cs="Times New Roman"/>
          <w:i/>
          <w:iCs/>
          <w:szCs w:val="24"/>
        </w:rPr>
        <w:t xml:space="preserve">Id. </w:t>
      </w:r>
      <w:r w:rsidR="00105585" w:rsidRPr="00D9651B">
        <w:rPr>
          <w:rFonts w:cs="Times New Roman"/>
          <w:szCs w:val="24"/>
        </w:rPr>
        <w:t xml:space="preserve">at 191-92 (quoting </w:t>
      </w:r>
      <w:r w:rsidR="00105585" w:rsidRPr="00D9651B">
        <w:rPr>
          <w:rFonts w:cs="Times New Roman"/>
          <w:i/>
          <w:iCs/>
          <w:szCs w:val="24"/>
        </w:rPr>
        <w:t>United Public Workers</w:t>
      </w:r>
      <w:r w:rsidR="00105585" w:rsidRPr="00D9651B">
        <w:rPr>
          <w:rFonts w:cs="Times New Roman"/>
          <w:szCs w:val="24"/>
        </w:rPr>
        <w:t xml:space="preserve"> </w:t>
      </w:r>
      <w:r w:rsidR="00105585" w:rsidRPr="00D9651B">
        <w:rPr>
          <w:rFonts w:cs="Times New Roman"/>
          <w:i/>
          <w:iCs/>
          <w:szCs w:val="24"/>
        </w:rPr>
        <w:t>v.</w:t>
      </w:r>
      <w:r w:rsidR="00105585" w:rsidRPr="00D9651B">
        <w:rPr>
          <w:rFonts w:cs="Times New Roman"/>
          <w:szCs w:val="24"/>
        </w:rPr>
        <w:t xml:space="preserve"> </w:t>
      </w:r>
      <w:r w:rsidR="00105585" w:rsidRPr="00D9651B">
        <w:rPr>
          <w:rFonts w:cs="Times New Roman"/>
          <w:i/>
          <w:iCs/>
          <w:szCs w:val="24"/>
        </w:rPr>
        <w:t>Mitchell,</w:t>
      </w:r>
      <w:r w:rsidR="00105585" w:rsidRPr="00D9651B">
        <w:rPr>
          <w:rFonts w:cs="Times New Roman"/>
          <w:szCs w:val="24"/>
        </w:rPr>
        <w:t xml:space="preserve"> 330 U.S. 75</w:t>
      </w:r>
      <w:r w:rsidR="00105585" w:rsidRPr="00D9651B">
        <w:rPr>
          <w:rFonts w:cs="Times New Roman"/>
          <w:szCs w:val="24"/>
        </w:rPr>
        <w:t>, 100</w:t>
      </w:r>
      <w:r w:rsidR="00105585" w:rsidRPr="00D9651B">
        <w:rPr>
          <w:rFonts w:cs="Times New Roman"/>
          <w:szCs w:val="24"/>
        </w:rPr>
        <w:t xml:space="preserve"> (1947)</w:t>
      </w:r>
      <w:r w:rsidR="00105585" w:rsidRPr="00D9651B">
        <w:rPr>
          <w:rFonts w:cs="Times New Roman"/>
          <w:szCs w:val="24"/>
        </w:rPr>
        <w:t>). The same constitutional protection extends to public servants who serve in state offices</w:t>
      </w:r>
      <w:r w:rsidR="005A5510" w:rsidRPr="00D9651B">
        <w:rPr>
          <w:rFonts w:cs="Times New Roman"/>
          <w:szCs w:val="24"/>
        </w:rPr>
        <w:t>, including offices filled by appointment</w:t>
      </w:r>
      <w:r w:rsidR="00105585" w:rsidRPr="00D9651B">
        <w:rPr>
          <w:rFonts w:cs="Times New Roman"/>
          <w:szCs w:val="24"/>
        </w:rPr>
        <w:t xml:space="preserve">. </w:t>
      </w:r>
      <w:r w:rsidR="00105585" w:rsidRPr="00D9651B">
        <w:rPr>
          <w:rFonts w:cs="Times New Roman"/>
          <w:i/>
          <w:iCs/>
          <w:szCs w:val="24"/>
        </w:rPr>
        <w:t xml:space="preserve">See </w:t>
      </w:r>
      <w:r w:rsidR="00105585" w:rsidRPr="00D9651B">
        <w:rPr>
          <w:rFonts w:cs="Times New Roman"/>
          <w:i/>
          <w:iCs/>
          <w:szCs w:val="24"/>
        </w:rPr>
        <w:t>Quinn v. Millsap</w:t>
      </w:r>
      <w:r w:rsidR="00105585" w:rsidRPr="00D9651B">
        <w:rPr>
          <w:rFonts w:cs="Times New Roman"/>
          <w:szCs w:val="24"/>
        </w:rPr>
        <w:t>, 491 U</w:t>
      </w:r>
      <w:r w:rsidR="00105585" w:rsidRPr="00D9651B">
        <w:rPr>
          <w:rFonts w:cs="Times New Roman"/>
          <w:szCs w:val="24"/>
        </w:rPr>
        <w:t>.</w:t>
      </w:r>
      <w:r w:rsidR="00105585" w:rsidRPr="00D9651B">
        <w:rPr>
          <w:rFonts w:cs="Times New Roman"/>
          <w:szCs w:val="24"/>
        </w:rPr>
        <w:t>S</w:t>
      </w:r>
      <w:r w:rsidR="00105585" w:rsidRPr="00D9651B">
        <w:rPr>
          <w:rFonts w:cs="Times New Roman"/>
          <w:szCs w:val="24"/>
        </w:rPr>
        <w:t>.</w:t>
      </w:r>
      <w:r w:rsidR="00105585" w:rsidRPr="00D9651B">
        <w:rPr>
          <w:rFonts w:cs="Times New Roman"/>
          <w:szCs w:val="24"/>
        </w:rPr>
        <w:t xml:space="preserve"> 95</w:t>
      </w:r>
      <w:r w:rsidR="00105585" w:rsidRPr="00D9651B">
        <w:rPr>
          <w:rFonts w:cs="Times New Roman"/>
          <w:szCs w:val="24"/>
        </w:rPr>
        <w:t xml:space="preserve"> </w:t>
      </w:r>
      <w:r w:rsidR="005A5510" w:rsidRPr="00D9651B">
        <w:rPr>
          <w:rFonts w:cs="Times New Roman"/>
          <w:szCs w:val="24"/>
        </w:rPr>
        <w:t>(1989) (holding that property ownership requirement as qualification for appointment to local office violated the Equal Protection Clause).</w:t>
      </w:r>
    </w:p>
    <w:p w14:paraId="2310E52F" w14:textId="77777777" w:rsidR="00A62353" w:rsidRPr="00D9651B" w:rsidRDefault="005A5510" w:rsidP="00A62353">
      <w:pPr>
        <w:spacing w:line="480" w:lineRule="auto"/>
        <w:ind w:firstLine="720"/>
        <w:jc w:val="both"/>
        <w:rPr>
          <w:rFonts w:cs="Times New Roman"/>
          <w:szCs w:val="24"/>
        </w:rPr>
      </w:pPr>
      <w:r w:rsidRPr="00D9651B">
        <w:rPr>
          <w:rFonts w:cs="Times New Roman"/>
          <w:szCs w:val="24"/>
        </w:rPr>
        <w:t>But if the Constitution does not permit Delaware to prohibit Republicans or Democrats from serving as judicial officers of its state courts, on what basis could the Constitution permit Delaware to impose that same prohibition on other citizens, solely by virtue of their partisan affiliation? There is none. Yet, that is what the Two-Party Provision does</w:t>
      </w:r>
      <w:r w:rsidR="00F17280" w:rsidRPr="00D9651B">
        <w:rPr>
          <w:rFonts w:cs="Times New Roman"/>
          <w:szCs w:val="24"/>
        </w:rPr>
        <w:t>,</w:t>
      </w:r>
      <w:r w:rsidRPr="00D9651B">
        <w:rPr>
          <w:rFonts w:cs="Times New Roman"/>
          <w:szCs w:val="24"/>
        </w:rPr>
        <w:t xml:space="preserve"> as applied in combination with the Bare-Majority Provision. </w:t>
      </w:r>
      <w:r w:rsidR="00F17280" w:rsidRPr="00D9651B">
        <w:rPr>
          <w:rFonts w:cs="Times New Roman"/>
          <w:szCs w:val="24"/>
        </w:rPr>
        <w:t>Thus, while the LNC</w:t>
      </w:r>
      <w:r w:rsidRPr="00D9651B">
        <w:rPr>
          <w:rFonts w:cs="Times New Roman"/>
          <w:szCs w:val="24"/>
        </w:rPr>
        <w:t xml:space="preserve"> </w:t>
      </w:r>
      <w:r w:rsidR="00F17280" w:rsidRPr="00D9651B">
        <w:rPr>
          <w:rFonts w:cs="Times New Roman"/>
          <w:szCs w:val="24"/>
        </w:rPr>
        <w:t xml:space="preserve">takes no position on the constitutionality of the Bare-Majority Provision, the Two-Party Provision as applied in combination with that provision is unconstitutional under this Court’s long-settled precedent. The </w:t>
      </w:r>
      <w:r w:rsidR="00F17280" w:rsidRPr="00D9651B">
        <w:rPr>
          <w:rFonts w:cs="Times New Roman"/>
          <w:szCs w:val="24"/>
        </w:rPr>
        <w:lastRenderedPageBreak/>
        <w:t xml:space="preserve">Two-Party Provision categorically excludes Libertarian voters, and all other voters who are not registered as Republicans or Democrats, including voters registered as independent or as members of another minor party, from serving as judicial officers </w:t>
      </w:r>
      <w:r w:rsidR="00143770" w:rsidRPr="00D9651B">
        <w:rPr>
          <w:rFonts w:cs="Times New Roman"/>
          <w:szCs w:val="24"/>
        </w:rPr>
        <w:t xml:space="preserve">of Delaware state courts (albeit not all such courts). The categorical exclusion of voters from appointment to such offices, based solely on their political affiliation, is no less invidious as applied to Libertarians, independents or other minor party members than it is as applied to Republicans and Democrats. </w:t>
      </w:r>
      <w:r w:rsidR="00143770" w:rsidRPr="00D9651B">
        <w:rPr>
          <w:rFonts w:cs="Times New Roman"/>
          <w:i/>
          <w:iCs/>
          <w:szCs w:val="24"/>
        </w:rPr>
        <w:t xml:space="preserve">See </w:t>
      </w:r>
      <w:r w:rsidR="00143770" w:rsidRPr="00D9651B">
        <w:rPr>
          <w:rFonts w:cs="Times New Roman"/>
          <w:i/>
          <w:iCs/>
          <w:szCs w:val="24"/>
        </w:rPr>
        <w:t>Wieman</w:t>
      </w:r>
      <w:r w:rsidR="00143770" w:rsidRPr="00D9651B">
        <w:rPr>
          <w:rFonts w:cs="Times New Roman"/>
          <w:szCs w:val="24"/>
        </w:rPr>
        <w:t>, 344 U.S.</w:t>
      </w:r>
      <w:r w:rsidR="00143770" w:rsidRPr="00D9651B">
        <w:rPr>
          <w:rFonts w:cs="Times New Roman"/>
          <w:szCs w:val="24"/>
        </w:rPr>
        <w:t xml:space="preserve"> at 191-92.</w:t>
      </w:r>
    </w:p>
    <w:p w14:paraId="6CB7833F" w14:textId="72BFA073" w:rsidR="00A62353" w:rsidRPr="00D9651B" w:rsidRDefault="00A62353" w:rsidP="00A62353">
      <w:pPr>
        <w:spacing w:line="480" w:lineRule="auto"/>
        <w:ind w:firstLine="720"/>
        <w:jc w:val="both"/>
        <w:rPr>
          <w:rFonts w:eastAsia="Calibri" w:cs="Times New Roman"/>
          <w:szCs w:val="24"/>
          <w:shd w:val="clear" w:color="auto" w:fill="FFFFFF"/>
        </w:rPr>
      </w:pPr>
      <w:r w:rsidRPr="00A62353">
        <w:rPr>
          <w:rFonts w:eastAsia="Calibri" w:cs="Times New Roman"/>
          <w:szCs w:val="24"/>
          <w:shd w:val="clear" w:color="auto" w:fill="FFFFFF"/>
        </w:rPr>
        <w:t>Th</w:t>
      </w:r>
      <w:r w:rsidRPr="00D9651B">
        <w:rPr>
          <w:rFonts w:eastAsia="Calibri" w:cs="Times New Roman"/>
          <w:szCs w:val="24"/>
          <w:shd w:val="clear" w:color="auto" w:fill="FFFFFF"/>
        </w:rPr>
        <w:t>is</w:t>
      </w:r>
      <w:r w:rsidRPr="00A62353">
        <w:rPr>
          <w:rFonts w:eastAsia="Calibri" w:cs="Times New Roman"/>
          <w:szCs w:val="24"/>
          <w:shd w:val="clear" w:color="auto" w:fill="FFFFFF"/>
        </w:rPr>
        <w:t xml:space="preserve"> Court has consistently </w:t>
      </w:r>
      <w:r w:rsidRPr="00D9651B">
        <w:rPr>
          <w:rFonts w:eastAsia="Calibri" w:cs="Times New Roman"/>
          <w:szCs w:val="24"/>
          <w:shd w:val="clear" w:color="auto" w:fill="FFFFFF"/>
        </w:rPr>
        <w:t>held</w:t>
      </w:r>
      <w:r w:rsidRPr="00A62353">
        <w:rPr>
          <w:rFonts w:eastAsia="Calibri" w:cs="Times New Roman"/>
          <w:szCs w:val="24"/>
          <w:shd w:val="clear" w:color="auto" w:fill="FFFFFF"/>
        </w:rPr>
        <w:t xml:space="preserve"> that</w:t>
      </w:r>
      <w:r w:rsidR="0004300D" w:rsidRPr="00D9651B">
        <w:rPr>
          <w:rFonts w:eastAsia="Calibri" w:cs="Times New Roman"/>
          <w:szCs w:val="24"/>
          <w:shd w:val="clear" w:color="auto" w:fill="FFFFFF"/>
        </w:rPr>
        <w:t xml:space="preserve"> citizens who choose not to associate with the Republican Party or Democratic Party</w:t>
      </w:r>
      <w:r w:rsidRPr="00A62353">
        <w:rPr>
          <w:rFonts w:eastAsia="Calibri" w:cs="Times New Roman"/>
          <w:szCs w:val="24"/>
          <w:shd w:val="clear" w:color="auto" w:fill="FFFFFF"/>
        </w:rPr>
        <w:t xml:space="preserve"> </w:t>
      </w:r>
      <w:r w:rsidR="0004300D" w:rsidRPr="00D9651B">
        <w:rPr>
          <w:rFonts w:eastAsia="Calibri" w:cs="Times New Roman"/>
          <w:szCs w:val="24"/>
          <w:shd w:val="clear" w:color="auto" w:fill="FFFFFF"/>
        </w:rPr>
        <w:t xml:space="preserve">have the “freedom </w:t>
      </w:r>
      <w:r w:rsidR="0004300D" w:rsidRPr="00D9651B">
        <w:rPr>
          <w:rFonts w:eastAsia="Calibri" w:cs="Times New Roman"/>
          <w:szCs w:val="24"/>
          <w:shd w:val="clear" w:color="auto" w:fill="FFFFFF"/>
        </w:rPr>
        <w:t>to associate as a political party, a right we have recognized as fundamental</w:t>
      </w:r>
      <w:r w:rsidR="0004300D" w:rsidRPr="00D9651B">
        <w:rPr>
          <w:rFonts w:eastAsia="Calibri" w:cs="Times New Roman"/>
          <w:szCs w:val="24"/>
          <w:shd w:val="clear" w:color="auto" w:fill="FFFFFF"/>
        </w:rPr>
        <w:t xml:space="preserve">.” </w:t>
      </w:r>
      <w:r w:rsidR="0004300D" w:rsidRPr="00D9651B">
        <w:rPr>
          <w:rFonts w:eastAsia="Calibri" w:cs="Times New Roman"/>
          <w:i/>
          <w:iCs/>
          <w:szCs w:val="24"/>
          <w:shd w:val="clear" w:color="auto" w:fill="FFFFFF"/>
        </w:rPr>
        <w:t>Illinois Bd. of Elections v. Socialist Workers Party</w:t>
      </w:r>
      <w:r w:rsidR="0004300D" w:rsidRPr="00D9651B">
        <w:rPr>
          <w:rFonts w:eastAsia="Calibri" w:cs="Times New Roman"/>
          <w:szCs w:val="24"/>
          <w:shd w:val="clear" w:color="auto" w:fill="FFFFFF"/>
        </w:rPr>
        <w:t>, 440 US 173</w:t>
      </w:r>
      <w:r w:rsidR="0004300D" w:rsidRPr="00D9651B">
        <w:rPr>
          <w:rFonts w:eastAsia="Calibri" w:cs="Times New Roman"/>
          <w:szCs w:val="24"/>
          <w:shd w:val="clear" w:color="auto" w:fill="FFFFFF"/>
        </w:rPr>
        <w:t xml:space="preserve">, 184 (1979) (citing </w:t>
      </w:r>
      <w:r w:rsidR="0004300D" w:rsidRPr="00D9651B">
        <w:rPr>
          <w:rFonts w:eastAsia="Calibri" w:cs="Times New Roman"/>
          <w:i/>
          <w:iCs/>
          <w:szCs w:val="24"/>
          <w:shd w:val="clear" w:color="auto" w:fill="FFFFFF"/>
        </w:rPr>
        <w:t>Williams v. Rhodes</w:t>
      </w:r>
      <w:r w:rsidR="0004300D" w:rsidRPr="00D9651B">
        <w:rPr>
          <w:rFonts w:eastAsia="Calibri" w:cs="Times New Roman"/>
          <w:szCs w:val="24"/>
          <w:shd w:val="clear" w:color="auto" w:fill="FFFFFF"/>
        </w:rPr>
        <w:t xml:space="preserve">, 393 U.S. 23, 30-31 (1968)). </w:t>
      </w:r>
      <w:r w:rsidR="009E71C0" w:rsidRPr="00D9651B">
        <w:rPr>
          <w:rFonts w:eastAsia="Calibri" w:cs="Times New Roman"/>
          <w:szCs w:val="24"/>
          <w:shd w:val="clear" w:color="auto" w:fill="FFFFFF"/>
        </w:rPr>
        <w:t>This entails that</w:t>
      </w:r>
      <w:r w:rsidR="0004300D" w:rsidRPr="00D9651B">
        <w:rPr>
          <w:rFonts w:eastAsia="Calibri" w:cs="Times New Roman"/>
          <w:szCs w:val="24"/>
          <w:shd w:val="clear" w:color="auto" w:fill="FFFFFF"/>
        </w:rPr>
        <w:t xml:space="preserve"> </w:t>
      </w:r>
      <w:r w:rsidRPr="00A62353">
        <w:rPr>
          <w:rFonts w:eastAsia="Calibri" w:cs="Times New Roman"/>
          <w:szCs w:val="24"/>
          <w:shd w:val="clear" w:color="auto" w:fill="FFFFFF"/>
        </w:rPr>
        <w:t>non-major political parties</w:t>
      </w:r>
      <w:r w:rsidR="009E71C0" w:rsidRPr="00D9651B">
        <w:rPr>
          <w:rFonts w:eastAsia="Calibri" w:cs="Times New Roman"/>
          <w:szCs w:val="24"/>
          <w:shd w:val="clear" w:color="auto" w:fill="FFFFFF"/>
        </w:rPr>
        <w:t xml:space="preserve"> have a</w:t>
      </w:r>
      <w:r w:rsidRPr="00A62353">
        <w:rPr>
          <w:rFonts w:eastAsia="Calibri" w:cs="Times New Roman"/>
          <w:szCs w:val="24"/>
          <w:shd w:val="clear" w:color="auto" w:fill="FFFFFF"/>
        </w:rPr>
        <w:t xml:space="preserve"> constitutional right to run candidates for elective office.</w:t>
      </w:r>
      <w:r w:rsidR="009E71C0" w:rsidRPr="00D9651B">
        <w:rPr>
          <w:rFonts w:eastAsia="Calibri" w:cs="Times New Roman"/>
          <w:szCs w:val="24"/>
          <w:shd w:val="clear" w:color="auto" w:fill="FFFFFF"/>
        </w:rPr>
        <w:t xml:space="preserve"> </w:t>
      </w:r>
      <w:r w:rsidR="00505A2A" w:rsidRPr="00D9651B">
        <w:rPr>
          <w:rFonts w:eastAsia="Calibri" w:cs="Times New Roman"/>
          <w:i/>
          <w:iCs/>
          <w:szCs w:val="24"/>
          <w:shd w:val="clear" w:color="auto" w:fill="FFFFFF"/>
        </w:rPr>
        <w:t>See Illinois Bd. of Elections</w:t>
      </w:r>
      <w:r w:rsidR="00505A2A" w:rsidRPr="00D9651B">
        <w:rPr>
          <w:rFonts w:eastAsia="Calibri" w:cs="Times New Roman"/>
          <w:szCs w:val="24"/>
          <w:shd w:val="clear" w:color="auto" w:fill="FFFFFF"/>
        </w:rPr>
        <w:t xml:space="preserve">, 440 U.S. at 184 (right to form a party “has diminished practical value if the party can be kept off the ballot”); </w:t>
      </w:r>
      <w:r w:rsidR="00505A2A" w:rsidRPr="00D9651B">
        <w:rPr>
          <w:rFonts w:eastAsia="Calibri" w:cs="Times New Roman"/>
          <w:i/>
          <w:iCs/>
          <w:szCs w:val="24"/>
          <w:shd w:val="clear" w:color="auto" w:fill="FFFFFF"/>
        </w:rPr>
        <w:t>Williams</w:t>
      </w:r>
      <w:r w:rsidR="00505A2A" w:rsidRPr="00D9651B">
        <w:rPr>
          <w:rFonts w:eastAsia="Calibri" w:cs="Times New Roman"/>
          <w:szCs w:val="24"/>
          <w:shd w:val="clear" w:color="auto" w:fill="FFFFFF"/>
        </w:rPr>
        <w:t>, 393 U.S.</w:t>
      </w:r>
      <w:r w:rsidR="00505A2A" w:rsidRPr="00D9651B">
        <w:rPr>
          <w:rFonts w:eastAsia="Calibri" w:cs="Times New Roman"/>
          <w:szCs w:val="24"/>
          <w:shd w:val="clear" w:color="auto" w:fill="FFFFFF"/>
        </w:rPr>
        <w:t xml:space="preserve"> at 31 (right to form a party “</w:t>
      </w:r>
      <w:r w:rsidR="00505A2A" w:rsidRPr="00D9651B">
        <w:rPr>
          <w:rFonts w:cs="Times New Roman"/>
          <w:szCs w:val="24"/>
        </w:rPr>
        <w:t>means little if a party can be kept off the election ballot and thus denied an equal opportunity to win votes</w:t>
      </w:r>
      <w:r w:rsidR="00505A2A" w:rsidRPr="00D9651B">
        <w:rPr>
          <w:rFonts w:cs="Times New Roman"/>
          <w:szCs w:val="24"/>
        </w:rPr>
        <w:t xml:space="preserve">”); </w:t>
      </w:r>
      <w:r w:rsidR="00156692" w:rsidRPr="00D9651B">
        <w:rPr>
          <w:rFonts w:cs="Times New Roman"/>
          <w:i/>
          <w:iCs/>
          <w:szCs w:val="24"/>
        </w:rPr>
        <w:t>see also</w:t>
      </w:r>
      <w:r w:rsidR="00156692" w:rsidRPr="00D9651B">
        <w:rPr>
          <w:rFonts w:eastAsia="Calibri" w:cs="Times New Roman"/>
          <w:szCs w:val="24"/>
          <w:shd w:val="clear" w:color="auto" w:fill="FFFFFF"/>
        </w:rPr>
        <w:t xml:space="preserve"> </w:t>
      </w:r>
      <w:r w:rsidR="00156692" w:rsidRPr="00A62353">
        <w:rPr>
          <w:rFonts w:eastAsia="Calibri" w:cs="Times New Roman"/>
          <w:bCs/>
          <w:i/>
          <w:iCs/>
          <w:szCs w:val="24"/>
          <w:bdr w:val="none" w:sz="0" w:space="0" w:color="auto" w:frame="1"/>
          <w:shd w:val="clear" w:color="auto" w:fill="FFFFFF"/>
        </w:rPr>
        <w:t>Anderson</w:t>
      </w:r>
      <w:r w:rsidR="00156692" w:rsidRPr="00A62353">
        <w:rPr>
          <w:rFonts w:eastAsia="Calibri" w:cs="Times New Roman"/>
          <w:i/>
          <w:iCs/>
          <w:szCs w:val="24"/>
          <w:bdr w:val="none" w:sz="0" w:space="0" w:color="auto" w:frame="1"/>
          <w:shd w:val="clear" w:color="auto" w:fill="FFFFFF"/>
        </w:rPr>
        <w:t> v.</w:t>
      </w:r>
      <w:r w:rsidR="00156692" w:rsidRPr="00D9651B">
        <w:rPr>
          <w:rFonts w:eastAsia="Calibri" w:cs="Times New Roman"/>
          <w:i/>
          <w:iCs/>
          <w:szCs w:val="24"/>
          <w:bdr w:val="none" w:sz="0" w:space="0" w:color="auto" w:frame="1"/>
          <w:shd w:val="clear" w:color="auto" w:fill="FFFFFF"/>
        </w:rPr>
        <w:t xml:space="preserve"> </w:t>
      </w:r>
      <w:r w:rsidR="00156692" w:rsidRPr="00A62353">
        <w:rPr>
          <w:rFonts w:eastAsia="Calibri" w:cs="Times New Roman"/>
          <w:i/>
          <w:iCs/>
          <w:szCs w:val="24"/>
          <w:bdr w:val="none" w:sz="0" w:space="0" w:color="auto" w:frame="1"/>
          <w:shd w:val="clear" w:color="auto" w:fill="FFFFFF"/>
        </w:rPr>
        <w:t>Celebrezze</w:t>
      </w:r>
      <w:r w:rsidR="00156692" w:rsidRPr="00A62353">
        <w:rPr>
          <w:rFonts w:eastAsia="Calibri" w:cs="Times New Roman"/>
          <w:szCs w:val="24"/>
          <w:bdr w:val="none" w:sz="0" w:space="0" w:color="auto" w:frame="1"/>
          <w:shd w:val="clear" w:color="auto" w:fill="FFFFFF"/>
        </w:rPr>
        <w:t>, 460 U.S. 780, 793 (1983)</w:t>
      </w:r>
      <w:r w:rsidR="00156692" w:rsidRPr="00A62353">
        <w:rPr>
          <w:rFonts w:eastAsia="Calibri" w:cs="Times New Roman"/>
          <w:szCs w:val="24"/>
          <w:shd w:val="clear" w:color="auto" w:fill="FFFFFF"/>
        </w:rPr>
        <w:t> (holding that burdens on new</w:t>
      </w:r>
      <w:r w:rsidR="00156692" w:rsidRPr="00D9651B">
        <w:rPr>
          <w:rFonts w:eastAsia="Calibri" w:cs="Times New Roman"/>
          <w:szCs w:val="24"/>
          <w:shd w:val="clear" w:color="auto" w:fill="FFFFFF"/>
        </w:rPr>
        <w:t xml:space="preserve"> </w:t>
      </w:r>
      <w:r w:rsidR="00156692" w:rsidRPr="00A62353">
        <w:rPr>
          <w:rFonts w:eastAsia="Calibri" w:cs="Times New Roman"/>
          <w:szCs w:val="24"/>
          <w:shd w:val="clear" w:color="auto" w:fill="FFFFFF"/>
        </w:rPr>
        <w:t>or</w:t>
      </w:r>
      <w:r w:rsidR="00156692" w:rsidRPr="00D9651B">
        <w:rPr>
          <w:rFonts w:eastAsia="Calibri" w:cs="Times New Roman"/>
          <w:szCs w:val="24"/>
          <w:shd w:val="clear" w:color="auto" w:fill="FFFFFF"/>
        </w:rPr>
        <w:t xml:space="preserve"> small parties and </w:t>
      </w:r>
      <w:r w:rsidRPr="00A62353">
        <w:rPr>
          <w:rFonts w:eastAsia="Calibri" w:cs="Times New Roman"/>
          <w:szCs w:val="24"/>
          <w:shd w:val="clear" w:color="auto" w:fill="FFFFFF"/>
        </w:rPr>
        <w:t xml:space="preserve">independent candidates impinge on First Amendment associational choices). As </w:t>
      </w:r>
      <w:r w:rsidR="00505A2A" w:rsidRPr="00D9651B">
        <w:rPr>
          <w:rFonts w:eastAsia="Calibri" w:cs="Times New Roman"/>
          <w:szCs w:val="24"/>
          <w:shd w:val="clear" w:color="auto" w:fill="FFFFFF"/>
        </w:rPr>
        <w:t>the</w:t>
      </w:r>
      <w:r w:rsidRPr="00A62353">
        <w:rPr>
          <w:rFonts w:eastAsia="Calibri" w:cs="Times New Roman"/>
          <w:szCs w:val="24"/>
          <w:shd w:val="clear" w:color="auto" w:fill="FFFFFF"/>
        </w:rPr>
        <w:t xml:space="preserve"> Court</w:t>
      </w:r>
      <w:r w:rsidR="00505A2A" w:rsidRPr="00D9651B">
        <w:rPr>
          <w:rFonts w:eastAsia="Calibri" w:cs="Times New Roman"/>
          <w:szCs w:val="24"/>
          <w:shd w:val="clear" w:color="auto" w:fill="FFFFFF"/>
        </w:rPr>
        <w:t xml:space="preserve"> observed</w:t>
      </w:r>
      <w:r w:rsidRPr="00A62353">
        <w:rPr>
          <w:rFonts w:eastAsia="Calibri" w:cs="Times New Roman"/>
          <w:szCs w:val="24"/>
          <w:shd w:val="clear" w:color="auto" w:fill="FFFFFF"/>
        </w:rPr>
        <w:t xml:space="preserve"> in </w:t>
      </w:r>
      <w:hyperlink r:id="rId10" w:anchor="co_pp_sp_708_11" w:history="1">
        <w:r w:rsidRPr="00A62353">
          <w:rPr>
            <w:rFonts w:eastAsia="Calibri" w:cs="Times New Roman"/>
            <w:i/>
            <w:iCs/>
            <w:szCs w:val="24"/>
            <w:bdr w:val="none" w:sz="0" w:space="0" w:color="auto" w:frame="1"/>
            <w:shd w:val="clear" w:color="auto" w:fill="FFFFFF"/>
          </w:rPr>
          <w:t>Williams</w:t>
        </w:r>
      </w:hyperlink>
      <w:r w:rsidRPr="00A62353">
        <w:rPr>
          <w:rFonts w:eastAsia="Calibri" w:cs="Times New Roman"/>
          <w:szCs w:val="24"/>
        </w:rPr>
        <w:t xml:space="preserve">, </w:t>
      </w:r>
      <w:r w:rsidRPr="00A62353">
        <w:rPr>
          <w:rFonts w:eastAsia="Calibri" w:cs="Times New Roman"/>
          <w:szCs w:val="24"/>
          <w:shd w:val="clear" w:color="auto" w:fill="FFFFFF"/>
        </w:rPr>
        <w:t>there is “no reason why </w:t>
      </w:r>
      <w:r w:rsidRPr="00A62353">
        <w:rPr>
          <w:rFonts w:eastAsia="Calibri" w:cs="Times New Roman"/>
          <w:bCs/>
          <w:szCs w:val="24"/>
          <w:bdr w:val="none" w:sz="0" w:space="0" w:color="auto" w:frame="1"/>
        </w:rPr>
        <w:t>two</w:t>
      </w:r>
      <w:r w:rsidRPr="00A62353">
        <w:rPr>
          <w:rFonts w:eastAsia="Calibri" w:cs="Times New Roman"/>
          <w:szCs w:val="24"/>
          <w:shd w:val="clear" w:color="auto" w:fill="FFFFFF"/>
        </w:rPr>
        <w:t> </w:t>
      </w:r>
      <w:r w:rsidRPr="00A62353">
        <w:rPr>
          <w:rFonts w:eastAsia="Calibri" w:cs="Times New Roman"/>
          <w:bCs/>
          <w:szCs w:val="24"/>
          <w:bdr w:val="none" w:sz="0" w:space="0" w:color="auto" w:frame="1"/>
        </w:rPr>
        <w:t>parties</w:t>
      </w:r>
      <w:r w:rsidRPr="00A62353">
        <w:rPr>
          <w:rFonts w:eastAsia="Calibri" w:cs="Times New Roman"/>
          <w:szCs w:val="24"/>
          <w:shd w:val="clear" w:color="auto" w:fill="FFFFFF"/>
        </w:rPr>
        <w:t xml:space="preserve"> should retain a permanent monopoly on the right to have people vote for or against them.” </w:t>
      </w:r>
      <w:r w:rsidR="00505A2A" w:rsidRPr="00D9651B">
        <w:rPr>
          <w:rFonts w:eastAsia="Calibri" w:cs="Times New Roman"/>
          <w:i/>
          <w:iCs/>
          <w:szCs w:val="24"/>
          <w:shd w:val="clear" w:color="auto" w:fill="FFFFFF"/>
        </w:rPr>
        <w:t>Williams</w:t>
      </w:r>
      <w:r w:rsidR="00505A2A" w:rsidRPr="00D9651B">
        <w:rPr>
          <w:rFonts w:eastAsia="Calibri" w:cs="Times New Roman"/>
          <w:szCs w:val="24"/>
          <w:shd w:val="clear" w:color="auto" w:fill="FFFFFF"/>
        </w:rPr>
        <w:t>, 393 U.S. at 3</w:t>
      </w:r>
      <w:r w:rsidR="00505A2A" w:rsidRPr="00D9651B">
        <w:rPr>
          <w:rFonts w:eastAsia="Calibri" w:cs="Times New Roman"/>
          <w:szCs w:val="24"/>
          <w:shd w:val="clear" w:color="auto" w:fill="FFFFFF"/>
        </w:rPr>
        <w:t>2.</w:t>
      </w:r>
    </w:p>
    <w:p w14:paraId="181C4EEA" w14:textId="35448D78" w:rsidR="00143770" w:rsidRPr="00D9651B" w:rsidRDefault="00505A2A" w:rsidP="008C6726">
      <w:pPr>
        <w:spacing w:line="480" w:lineRule="auto"/>
        <w:ind w:firstLine="720"/>
        <w:jc w:val="both"/>
        <w:rPr>
          <w:rFonts w:eastAsia="Calibri" w:cs="Times New Roman"/>
          <w:szCs w:val="24"/>
        </w:rPr>
      </w:pPr>
      <w:r w:rsidRPr="00D9651B">
        <w:rPr>
          <w:rFonts w:eastAsia="Calibri" w:cs="Times New Roman"/>
          <w:szCs w:val="24"/>
          <w:shd w:val="clear" w:color="auto" w:fill="FFFFFF"/>
        </w:rPr>
        <w:t xml:space="preserve">These same principles apply equally to </w:t>
      </w:r>
      <w:r w:rsidR="00420080" w:rsidRPr="00D9651B">
        <w:rPr>
          <w:rFonts w:eastAsia="Calibri" w:cs="Times New Roman"/>
          <w:szCs w:val="24"/>
          <w:shd w:val="clear" w:color="auto" w:fill="FFFFFF"/>
        </w:rPr>
        <w:t>“the right to be considered for public service” by appointment to public of</w:t>
      </w:r>
      <w:r w:rsidRPr="00D9651B">
        <w:rPr>
          <w:rFonts w:eastAsia="Calibri" w:cs="Times New Roman"/>
          <w:szCs w:val="24"/>
          <w:shd w:val="clear" w:color="auto" w:fill="FFFFFF"/>
        </w:rPr>
        <w:t>fice.</w:t>
      </w:r>
      <w:r w:rsidR="00420080" w:rsidRPr="00D9651B">
        <w:rPr>
          <w:rFonts w:eastAsia="Calibri" w:cs="Times New Roman"/>
          <w:szCs w:val="24"/>
          <w:shd w:val="clear" w:color="auto" w:fill="FFFFFF"/>
        </w:rPr>
        <w:t xml:space="preserve"> </w:t>
      </w:r>
      <w:r w:rsidR="00420080" w:rsidRPr="00D9651B">
        <w:rPr>
          <w:rFonts w:cs="Times New Roman"/>
          <w:i/>
          <w:iCs/>
          <w:szCs w:val="24"/>
        </w:rPr>
        <w:t>See Quinn</w:t>
      </w:r>
      <w:r w:rsidR="00420080" w:rsidRPr="00D9651B">
        <w:rPr>
          <w:rFonts w:cs="Times New Roman"/>
          <w:szCs w:val="24"/>
        </w:rPr>
        <w:t>, 491 U.S.</w:t>
      </w:r>
      <w:r w:rsidR="00420080" w:rsidRPr="00D9651B">
        <w:rPr>
          <w:rFonts w:cs="Times New Roman"/>
          <w:szCs w:val="24"/>
        </w:rPr>
        <w:t xml:space="preserve"> at 105.</w:t>
      </w:r>
      <w:r w:rsidRPr="00D9651B">
        <w:rPr>
          <w:rFonts w:eastAsia="Calibri" w:cs="Times New Roman"/>
          <w:szCs w:val="24"/>
          <w:shd w:val="clear" w:color="auto" w:fill="FFFFFF"/>
        </w:rPr>
        <w:t xml:space="preserve"> Just as </w:t>
      </w:r>
      <w:r w:rsidR="00420080" w:rsidRPr="00D9651B">
        <w:rPr>
          <w:rFonts w:eastAsia="Calibri" w:cs="Times New Roman"/>
          <w:szCs w:val="24"/>
          <w:shd w:val="clear" w:color="auto" w:fill="FFFFFF"/>
        </w:rPr>
        <w:t>“</w:t>
      </w:r>
      <w:r w:rsidRPr="00D9651B">
        <w:rPr>
          <w:rFonts w:eastAsia="Calibri" w:cs="Times New Roman"/>
          <w:szCs w:val="24"/>
          <w:shd w:val="clear" w:color="auto" w:fill="FFFFFF"/>
        </w:rPr>
        <w:t>there is no reason why two parties should retain a permanent monopoly on</w:t>
      </w:r>
      <w:r w:rsidR="00420080" w:rsidRPr="00D9651B">
        <w:rPr>
          <w:rFonts w:eastAsia="Calibri" w:cs="Times New Roman"/>
          <w:szCs w:val="24"/>
          <w:shd w:val="clear" w:color="auto" w:fill="FFFFFF"/>
        </w:rPr>
        <w:t>”</w:t>
      </w:r>
      <w:r w:rsidRPr="00D9651B">
        <w:rPr>
          <w:rFonts w:eastAsia="Calibri" w:cs="Times New Roman"/>
          <w:szCs w:val="24"/>
          <w:shd w:val="clear" w:color="auto" w:fill="FFFFFF"/>
        </w:rPr>
        <w:t xml:space="preserve"> elected offices, there is no reason why two parties should retain a permanent monopoly on appointed offices. Both kinds of offices, after all, represent </w:t>
      </w:r>
      <w:r w:rsidRPr="00D9651B">
        <w:rPr>
          <w:rFonts w:eastAsia="Calibri" w:cs="Times New Roman"/>
          <w:szCs w:val="24"/>
          <w:shd w:val="clear" w:color="auto" w:fill="FFFFFF"/>
        </w:rPr>
        <w:lastRenderedPageBreak/>
        <w:t>the people. A</w:t>
      </w:r>
      <w:r w:rsidR="00420080" w:rsidRPr="00D9651B">
        <w:rPr>
          <w:rFonts w:eastAsia="Calibri" w:cs="Times New Roman"/>
          <w:szCs w:val="24"/>
          <w:shd w:val="clear" w:color="auto" w:fill="FFFFFF"/>
        </w:rPr>
        <w:t>nd</w:t>
      </w:r>
      <w:r w:rsidRPr="00D9651B">
        <w:rPr>
          <w:rFonts w:eastAsia="Calibri" w:cs="Times New Roman"/>
          <w:szCs w:val="24"/>
          <w:shd w:val="clear" w:color="auto" w:fill="FFFFFF"/>
        </w:rPr>
        <w:t xml:space="preserve"> this Court</w:t>
      </w:r>
      <w:r w:rsidR="00420080" w:rsidRPr="00D9651B">
        <w:rPr>
          <w:rFonts w:eastAsia="Calibri" w:cs="Times New Roman"/>
          <w:szCs w:val="24"/>
          <w:shd w:val="clear" w:color="auto" w:fill="FFFFFF"/>
        </w:rPr>
        <w:t>’</w:t>
      </w:r>
      <w:r w:rsidRPr="00D9651B">
        <w:rPr>
          <w:rFonts w:eastAsia="Calibri" w:cs="Times New Roman"/>
          <w:szCs w:val="24"/>
          <w:shd w:val="clear" w:color="auto" w:fill="FFFFFF"/>
        </w:rPr>
        <w:t>s cases make clear</w:t>
      </w:r>
      <w:r w:rsidR="00420080" w:rsidRPr="00D9651B">
        <w:rPr>
          <w:rFonts w:eastAsia="Calibri" w:cs="Times New Roman"/>
          <w:szCs w:val="24"/>
          <w:shd w:val="clear" w:color="auto" w:fill="FFFFFF"/>
        </w:rPr>
        <w:t xml:space="preserve"> that</w:t>
      </w:r>
      <w:r w:rsidRPr="00D9651B">
        <w:rPr>
          <w:rFonts w:eastAsia="Calibri" w:cs="Times New Roman"/>
          <w:szCs w:val="24"/>
        </w:rPr>
        <w:t xml:space="preserve"> </w:t>
      </w:r>
      <w:r w:rsidRPr="00D9651B">
        <w:rPr>
          <w:rFonts w:eastAsia="Calibri" w:cs="Times New Roman"/>
          <w:szCs w:val="24"/>
          <w:shd w:val="clear" w:color="auto" w:fill="FFFFFF"/>
        </w:rPr>
        <w:t xml:space="preserve">exclusion because of political affiliation can be </w:t>
      </w:r>
      <w:r w:rsidR="00420080" w:rsidRPr="00D9651B">
        <w:rPr>
          <w:rFonts w:eastAsia="Calibri" w:cs="Times New Roman"/>
          <w:szCs w:val="24"/>
          <w:shd w:val="clear" w:color="auto" w:fill="FFFFFF"/>
        </w:rPr>
        <w:t>no less</w:t>
      </w:r>
      <w:r w:rsidRPr="00D9651B">
        <w:rPr>
          <w:rFonts w:eastAsia="Calibri" w:cs="Times New Roman"/>
          <w:szCs w:val="24"/>
          <w:shd w:val="clear" w:color="auto" w:fill="FFFFFF"/>
        </w:rPr>
        <w:t xml:space="preserve"> pernicious in the workplace </w:t>
      </w:r>
      <w:r w:rsidR="00420080" w:rsidRPr="00D9651B">
        <w:rPr>
          <w:rFonts w:eastAsia="Calibri" w:cs="Times New Roman"/>
          <w:szCs w:val="24"/>
          <w:shd w:val="clear" w:color="auto" w:fill="FFFFFF"/>
        </w:rPr>
        <w:t>than</w:t>
      </w:r>
      <w:r w:rsidRPr="00D9651B">
        <w:rPr>
          <w:rFonts w:eastAsia="Calibri" w:cs="Times New Roman"/>
          <w:szCs w:val="24"/>
          <w:shd w:val="clear" w:color="auto" w:fill="FFFFFF"/>
        </w:rPr>
        <w:t xml:space="preserve"> it is at the polling place.</w:t>
      </w:r>
      <w:r w:rsidR="00420080" w:rsidRPr="00D9651B">
        <w:rPr>
          <w:rFonts w:eastAsia="Calibri" w:cs="Times New Roman"/>
          <w:szCs w:val="24"/>
          <w:shd w:val="clear" w:color="auto" w:fill="FFFFFF"/>
        </w:rPr>
        <w:t xml:space="preserve"> </w:t>
      </w:r>
      <w:r w:rsidR="00420080" w:rsidRPr="00D9651B">
        <w:rPr>
          <w:rFonts w:eastAsia="Calibri" w:cs="Times New Roman"/>
          <w:i/>
          <w:iCs/>
          <w:szCs w:val="24"/>
          <w:shd w:val="clear" w:color="auto" w:fill="FFFFFF"/>
        </w:rPr>
        <w:t>S</w:t>
      </w:r>
      <w:r w:rsidR="00420080" w:rsidRPr="00D9651B">
        <w:rPr>
          <w:rFonts w:eastAsia="Calibri" w:cs="Times New Roman"/>
          <w:i/>
          <w:iCs/>
          <w:szCs w:val="24"/>
          <w:shd w:val="clear" w:color="auto" w:fill="FFFFFF"/>
        </w:rPr>
        <w:t>ee</w:t>
      </w:r>
      <w:r w:rsidR="00420080" w:rsidRPr="00D9651B">
        <w:rPr>
          <w:rFonts w:eastAsia="Calibri" w:cs="Times New Roman"/>
          <w:szCs w:val="24"/>
          <w:shd w:val="clear" w:color="auto" w:fill="FFFFFF"/>
        </w:rPr>
        <w:t>,</w:t>
      </w:r>
      <w:r w:rsidR="00420080" w:rsidRPr="00D9651B">
        <w:rPr>
          <w:rFonts w:eastAsia="Calibri" w:cs="Times New Roman"/>
          <w:i/>
          <w:iCs/>
          <w:szCs w:val="24"/>
          <w:shd w:val="clear" w:color="auto" w:fill="FFFFFF"/>
        </w:rPr>
        <w:t xml:space="preserve"> e.g.</w:t>
      </w:r>
      <w:r w:rsidR="00420080" w:rsidRPr="00D9651B">
        <w:rPr>
          <w:rFonts w:eastAsia="Calibri" w:cs="Times New Roman"/>
          <w:szCs w:val="24"/>
          <w:shd w:val="clear" w:color="auto" w:fill="FFFFFF"/>
        </w:rPr>
        <w:t xml:space="preserve">, </w:t>
      </w:r>
      <w:r w:rsidR="00420080" w:rsidRPr="00D9651B">
        <w:rPr>
          <w:rFonts w:eastAsia="Calibri" w:cs="Times New Roman"/>
          <w:i/>
          <w:szCs w:val="24"/>
        </w:rPr>
        <w:t>Branti v. Finkel</w:t>
      </w:r>
      <w:r w:rsidR="00420080" w:rsidRPr="00D9651B">
        <w:rPr>
          <w:rFonts w:eastAsia="Calibri" w:cs="Times New Roman"/>
          <w:szCs w:val="24"/>
        </w:rPr>
        <w:t>, 445 U.S. 507, 516 (1980)</w:t>
      </w:r>
      <w:r w:rsidR="00B25A45" w:rsidRPr="00D9651B">
        <w:rPr>
          <w:rFonts w:eastAsia="Calibri" w:cs="Times New Roman"/>
          <w:szCs w:val="24"/>
        </w:rPr>
        <w:t xml:space="preserve"> (First Amendment protects public employees from discharge based on speech and private belief)</w:t>
      </w:r>
      <w:r w:rsidR="00420080" w:rsidRPr="00D9651B">
        <w:rPr>
          <w:rFonts w:eastAsia="Calibri" w:cs="Times New Roman"/>
          <w:szCs w:val="24"/>
        </w:rPr>
        <w:t xml:space="preserve">; </w:t>
      </w:r>
      <w:r w:rsidR="00420080" w:rsidRPr="00D9651B">
        <w:rPr>
          <w:rFonts w:eastAsia="Calibri" w:cs="Times New Roman"/>
          <w:i/>
          <w:szCs w:val="24"/>
          <w:shd w:val="clear" w:color="auto" w:fill="FFFFFF"/>
        </w:rPr>
        <w:t>Elrod v. Burns</w:t>
      </w:r>
      <w:r w:rsidR="00420080" w:rsidRPr="00D9651B">
        <w:rPr>
          <w:rFonts w:eastAsia="Calibri" w:cs="Times New Roman"/>
          <w:szCs w:val="24"/>
          <w:shd w:val="clear" w:color="auto" w:fill="FFFFFF"/>
        </w:rPr>
        <w:t xml:space="preserve">, </w:t>
      </w:r>
      <w:r w:rsidR="00420080" w:rsidRPr="00D9651B">
        <w:rPr>
          <w:rFonts w:eastAsia="Calibri" w:cs="Times New Roman"/>
          <w:szCs w:val="24"/>
        </w:rPr>
        <w:t>427 U.S. 347, 355-58 (1976)</w:t>
      </w:r>
      <w:r w:rsidR="00420080" w:rsidRPr="00D9651B">
        <w:rPr>
          <w:rFonts w:eastAsia="Calibri" w:cs="Times New Roman"/>
          <w:szCs w:val="24"/>
        </w:rPr>
        <w:t xml:space="preserve"> (requirement that public employees pledge allegiance to Democratic Party violates First Amendment).</w:t>
      </w:r>
      <w:r w:rsidR="00420080" w:rsidRPr="00D9651B">
        <w:rPr>
          <w:rFonts w:eastAsia="Calibri" w:cs="Times New Roman"/>
          <w:szCs w:val="24"/>
        </w:rPr>
        <w:t xml:space="preserve"> </w:t>
      </w:r>
    </w:p>
    <w:p w14:paraId="248E2465" w14:textId="77777777" w:rsidR="00393614" w:rsidRPr="00D9651B" w:rsidRDefault="004923C5" w:rsidP="008C6726">
      <w:pPr>
        <w:spacing w:line="480" w:lineRule="auto"/>
        <w:ind w:firstLine="720"/>
        <w:jc w:val="both"/>
        <w:rPr>
          <w:rFonts w:eastAsia="Calibri" w:cs="Times New Roman"/>
          <w:szCs w:val="24"/>
        </w:rPr>
      </w:pPr>
      <w:bookmarkStart w:id="0" w:name="_Hlk33614251"/>
      <w:r w:rsidRPr="00D9651B">
        <w:rPr>
          <w:rFonts w:eastAsia="Calibri" w:cs="Times New Roman"/>
          <w:szCs w:val="24"/>
          <w:shd w:val="clear" w:color="auto" w:fill="FFFFFF"/>
        </w:rPr>
        <w:t>This is not to say that</w:t>
      </w:r>
      <w:r w:rsidR="00156692" w:rsidRPr="00D9651B">
        <w:rPr>
          <w:rFonts w:eastAsia="Calibri" w:cs="Times New Roman"/>
          <w:szCs w:val="24"/>
          <w:shd w:val="clear" w:color="auto" w:fill="FFFFFF"/>
        </w:rPr>
        <w:t xml:space="preserve"> use or consideration of</w:t>
      </w:r>
      <w:r w:rsidRPr="00D9651B">
        <w:rPr>
          <w:rFonts w:eastAsia="Calibri" w:cs="Times New Roman"/>
          <w:szCs w:val="24"/>
          <w:shd w:val="clear" w:color="auto" w:fill="FFFFFF"/>
        </w:rPr>
        <w:t xml:space="preserve"> p</w:t>
      </w:r>
      <w:r w:rsidRPr="00D9651B">
        <w:rPr>
          <w:rFonts w:eastAsia="Calibri" w:cs="Times New Roman"/>
          <w:szCs w:val="24"/>
          <w:shd w:val="clear" w:color="auto" w:fill="FFFFFF"/>
        </w:rPr>
        <w:t>olitical affiliation</w:t>
      </w:r>
      <w:r w:rsidRPr="00D9651B">
        <w:rPr>
          <w:rFonts w:eastAsia="Calibri" w:cs="Times New Roman"/>
          <w:szCs w:val="24"/>
          <w:shd w:val="clear" w:color="auto" w:fill="FFFFFF"/>
        </w:rPr>
        <w:t xml:space="preserve"> </w:t>
      </w:r>
      <w:r w:rsidR="00156692" w:rsidRPr="00D9651B">
        <w:rPr>
          <w:rFonts w:eastAsia="Calibri" w:cs="Times New Roman"/>
          <w:szCs w:val="24"/>
          <w:shd w:val="clear" w:color="auto" w:fill="FFFFFF"/>
        </w:rPr>
        <w:t>is always impermissible</w:t>
      </w:r>
      <w:r w:rsidRPr="00D9651B">
        <w:rPr>
          <w:rFonts w:eastAsia="Calibri" w:cs="Times New Roman"/>
          <w:szCs w:val="24"/>
          <w:shd w:val="clear" w:color="auto" w:fill="FFFFFF"/>
        </w:rPr>
        <w:t xml:space="preserve">. </w:t>
      </w:r>
      <w:r w:rsidR="00156692" w:rsidRPr="00D9651B">
        <w:rPr>
          <w:rFonts w:eastAsia="Calibri" w:cs="Times New Roman"/>
          <w:szCs w:val="24"/>
          <w:shd w:val="clear" w:color="auto" w:fill="FFFFFF"/>
        </w:rPr>
        <w:t>On the contrary, t</w:t>
      </w:r>
      <w:r w:rsidRPr="00D9651B">
        <w:rPr>
          <w:rFonts w:eastAsia="Calibri" w:cs="Times New Roman"/>
          <w:szCs w:val="24"/>
          <w:shd w:val="clear" w:color="auto" w:fill="FFFFFF"/>
        </w:rPr>
        <w:t>he p</w:t>
      </w:r>
      <w:r w:rsidRPr="00D9651B">
        <w:rPr>
          <w:rFonts w:eastAsia="Calibri" w:cs="Times New Roman"/>
          <w:szCs w:val="24"/>
          <w:shd w:val="clear" w:color="auto" w:fill="FFFFFF"/>
        </w:rPr>
        <w:t>olitical</w:t>
      </w:r>
      <w:r w:rsidRPr="00D9651B">
        <w:rPr>
          <w:rFonts w:eastAsia="Calibri" w:cs="Times New Roman"/>
          <w:szCs w:val="24"/>
          <w:shd w:val="clear" w:color="auto" w:fill="FFFFFF"/>
        </w:rPr>
        <w:t xml:space="preserve"> affiliation of candidates is often printed on ballots</w:t>
      </w:r>
      <w:r w:rsidR="00156692" w:rsidRPr="00D9651B">
        <w:rPr>
          <w:rFonts w:eastAsia="Calibri" w:cs="Times New Roman"/>
          <w:szCs w:val="24"/>
          <w:shd w:val="clear" w:color="auto" w:fill="FFFFFF"/>
        </w:rPr>
        <w:t>, and it is not only known</w:t>
      </w:r>
      <w:r w:rsidRPr="00D9651B">
        <w:rPr>
          <w:rFonts w:eastAsia="Calibri" w:cs="Times New Roman"/>
          <w:szCs w:val="24"/>
          <w:shd w:val="clear" w:color="auto" w:fill="FFFFFF"/>
        </w:rPr>
        <w:t xml:space="preserve"> </w:t>
      </w:r>
      <w:r w:rsidR="00156692" w:rsidRPr="00D9651B">
        <w:rPr>
          <w:rFonts w:eastAsia="Calibri" w:cs="Times New Roman"/>
          <w:szCs w:val="24"/>
          <w:shd w:val="clear" w:color="auto" w:fill="FFFFFF"/>
        </w:rPr>
        <w:t>but</w:t>
      </w:r>
      <w:r w:rsidRPr="00D9651B">
        <w:rPr>
          <w:rFonts w:eastAsia="Calibri" w:cs="Times New Roman"/>
          <w:szCs w:val="24"/>
          <w:shd w:val="clear" w:color="auto" w:fill="FFFFFF"/>
        </w:rPr>
        <w:t xml:space="preserve"> used by voters</w:t>
      </w:r>
      <w:r w:rsidR="00156692" w:rsidRPr="00D9651B">
        <w:rPr>
          <w:rFonts w:eastAsia="Calibri" w:cs="Times New Roman"/>
          <w:szCs w:val="24"/>
          <w:shd w:val="clear" w:color="auto" w:fill="FFFFFF"/>
        </w:rPr>
        <w:t xml:space="preserve"> to aid in their selections at the polls</w:t>
      </w:r>
      <w:r w:rsidRPr="00D9651B">
        <w:rPr>
          <w:rFonts w:eastAsia="Calibri" w:cs="Times New Roman"/>
          <w:szCs w:val="24"/>
          <w:shd w:val="clear" w:color="auto" w:fill="FFFFFF"/>
        </w:rPr>
        <w:t xml:space="preserve">. Similarly, political affiliation can be </w:t>
      </w:r>
      <w:r w:rsidR="00156692" w:rsidRPr="00D9651B">
        <w:rPr>
          <w:rFonts w:eastAsia="Calibri" w:cs="Times New Roman"/>
          <w:szCs w:val="24"/>
          <w:shd w:val="clear" w:color="auto" w:fill="FFFFFF"/>
        </w:rPr>
        <w:t>consider</w:t>
      </w:r>
      <w:r w:rsidRPr="00D9651B">
        <w:rPr>
          <w:rFonts w:eastAsia="Calibri" w:cs="Times New Roman"/>
          <w:szCs w:val="24"/>
          <w:shd w:val="clear" w:color="auto" w:fill="FFFFFF"/>
        </w:rPr>
        <w:t>ed by governors</w:t>
      </w:r>
      <w:r w:rsidR="00156692" w:rsidRPr="00D9651B">
        <w:rPr>
          <w:rFonts w:eastAsia="Calibri" w:cs="Times New Roman"/>
          <w:szCs w:val="24"/>
          <w:shd w:val="clear" w:color="auto" w:fill="FFFFFF"/>
        </w:rPr>
        <w:t xml:space="preserve"> in making </w:t>
      </w:r>
      <w:r w:rsidRPr="00D9651B">
        <w:rPr>
          <w:rFonts w:eastAsia="Calibri" w:cs="Times New Roman"/>
          <w:szCs w:val="24"/>
          <w:shd w:val="clear" w:color="auto" w:fill="FFFFFF"/>
        </w:rPr>
        <w:t>appoint</w:t>
      </w:r>
      <w:r w:rsidR="00156692" w:rsidRPr="00D9651B">
        <w:rPr>
          <w:rFonts w:eastAsia="Calibri" w:cs="Times New Roman"/>
          <w:szCs w:val="24"/>
          <w:shd w:val="clear" w:color="auto" w:fill="FFFFFF"/>
        </w:rPr>
        <w:t>ments to public</w:t>
      </w:r>
      <w:r w:rsidRPr="00D9651B">
        <w:rPr>
          <w:rFonts w:eastAsia="Calibri" w:cs="Times New Roman"/>
          <w:szCs w:val="24"/>
          <w:shd w:val="clear" w:color="auto" w:fill="FFFFFF"/>
        </w:rPr>
        <w:t xml:space="preserve"> offices </w:t>
      </w:r>
      <w:r w:rsidR="00156692" w:rsidRPr="00D9651B">
        <w:rPr>
          <w:rFonts w:eastAsia="Calibri" w:cs="Times New Roman"/>
          <w:szCs w:val="24"/>
          <w:shd w:val="clear" w:color="auto" w:fill="FFFFFF"/>
        </w:rPr>
        <w:t>–</w:t>
      </w:r>
      <w:r w:rsidRPr="00D9651B">
        <w:rPr>
          <w:rFonts w:eastAsia="Calibri" w:cs="Times New Roman"/>
          <w:szCs w:val="24"/>
          <w:shd w:val="clear" w:color="auto" w:fill="FFFFFF"/>
        </w:rPr>
        <w:t xml:space="preserve"> arguably</w:t>
      </w:r>
      <w:r w:rsidR="00156692" w:rsidRPr="00D9651B">
        <w:rPr>
          <w:rFonts w:eastAsia="Calibri" w:cs="Times New Roman"/>
          <w:szCs w:val="24"/>
          <w:shd w:val="clear" w:color="auto" w:fill="FFFFFF"/>
        </w:rPr>
        <w:t xml:space="preserve"> including</w:t>
      </w:r>
      <w:r w:rsidRPr="00D9651B">
        <w:rPr>
          <w:rFonts w:eastAsia="Calibri" w:cs="Times New Roman"/>
          <w:szCs w:val="24"/>
          <w:shd w:val="clear" w:color="auto" w:fill="FFFFFF"/>
        </w:rPr>
        <w:t xml:space="preserve"> some or all of the</w:t>
      </w:r>
      <w:r w:rsidR="00156692" w:rsidRPr="00D9651B">
        <w:rPr>
          <w:rFonts w:eastAsia="Calibri" w:cs="Times New Roman"/>
          <w:szCs w:val="24"/>
          <w:shd w:val="clear" w:color="auto" w:fill="FFFFFF"/>
        </w:rPr>
        <w:t xml:space="preserve"> judicial offices</w:t>
      </w:r>
      <w:r w:rsidRPr="00D9651B">
        <w:rPr>
          <w:rFonts w:eastAsia="Calibri" w:cs="Times New Roman"/>
          <w:szCs w:val="24"/>
          <w:shd w:val="clear" w:color="auto" w:fill="FFFFFF"/>
        </w:rPr>
        <w:t xml:space="preserve"> at issue here. But the ability to use information such as political affiliation to make appointments </w:t>
      </w:r>
      <w:r w:rsidR="00156692" w:rsidRPr="00D9651B">
        <w:rPr>
          <w:rFonts w:eastAsia="Calibri" w:cs="Times New Roman"/>
          <w:szCs w:val="24"/>
          <w:shd w:val="clear" w:color="auto" w:fill="FFFFFF"/>
        </w:rPr>
        <w:t xml:space="preserve">for public office </w:t>
      </w:r>
      <w:r w:rsidRPr="00D9651B">
        <w:rPr>
          <w:rFonts w:eastAsia="Calibri" w:cs="Times New Roman"/>
          <w:szCs w:val="24"/>
          <w:shd w:val="clear" w:color="auto" w:fill="FFFFFF"/>
        </w:rPr>
        <w:t xml:space="preserve">is a far cry from </w:t>
      </w:r>
      <w:r w:rsidR="00156692" w:rsidRPr="00D9651B">
        <w:rPr>
          <w:rFonts w:eastAsia="Calibri" w:cs="Times New Roman"/>
          <w:szCs w:val="24"/>
          <w:shd w:val="clear" w:color="auto" w:fill="FFFFFF"/>
        </w:rPr>
        <w:t>the</w:t>
      </w:r>
      <w:r w:rsidRPr="00D9651B">
        <w:rPr>
          <w:rFonts w:eastAsia="Calibri" w:cs="Times New Roman"/>
          <w:szCs w:val="24"/>
          <w:shd w:val="clear" w:color="auto" w:fill="FFFFFF"/>
        </w:rPr>
        <w:t xml:space="preserve"> categorical exclusion </w:t>
      </w:r>
      <w:r w:rsidR="00156692" w:rsidRPr="00D9651B">
        <w:rPr>
          <w:rFonts w:eastAsia="Calibri" w:cs="Times New Roman"/>
          <w:szCs w:val="24"/>
          <w:shd w:val="clear" w:color="auto" w:fill="FFFFFF"/>
        </w:rPr>
        <w:t xml:space="preserve">from appointment to such offices </w:t>
      </w:r>
      <w:r w:rsidRPr="00D9651B">
        <w:rPr>
          <w:rFonts w:eastAsia="Calibri" w:cs="Times New Roman"/>
          <w:szCs w:val="24"/>
          <w:shd w:val="clear" w:color="auto" w:fill="FFFFFF"/>
        </w:rPr>
        <w:t>b</w:t>
      </w:r>
      <w:r w:rsidR="00156692" w:rsidRPr="00D9651B">
        <w:rPr>
          <w:rFonts w:eastAsia="Calibri" w:cs="Times New Roman"/>
          <w:szCs w:val="24"/>
          <w:shd w:val="clear" w:color="auto" w:fill="FFFFFF"/>
        </w:rPr>
        <w:t>ased on</w:t>
      </w:r>
      <w:r w:rsidRPr="00D9651B">
        <w:rPr>
          <w:rFonts w:eastAsia="Calibri" w:cs="Times New Roman"/>
          <w:szCs w:val="24"/>
          <w:shd w:val="clear" w:color="auto" w:fill="FFFFFF"/>
        </w:rPr>
        <w:t xml:space="preserve"> political affiliation. Just as a law </w:t>
      </w:r>
      <w:r w:rsidR="00156692" w:rsidRPr="00D9651B">
        <w:rPr>
          <w:rFonts w:eastAsia="Calibri" w:cs="Times New Roman"/>
          <w:szCs w:val="24"/>
          <w:shd w:val="clear" w:color="auto" w:fill="FFFFFF"/>
        </w:rPr>
        <w:t>that prohibits</w:t>
      </w:r>
      <w:r w:rsidRPr="00D9651B">
        <w:rPr>
          <w:rFonts w:eastAsia="Calibri" w:cs="Times New Roman"/>
          <w:szCs w:val="24"/>
          <w:shd w:val="clear" w:color="auto" w:fill="FFFFFF"/>
        </w:rPr>
        <w:t xml:space="preserve"> </w:t>
      </w:r>
      <w:r w:rsidR="00156692" w:rsidRPr="00D9651B">
        <w:rPr>
          <w:rFonts w:eastAsia="Calibri" w:cs="Times New Roman"/>
          <w:szCs w:val="24"/>
          <w:shd w:val="clear" w:color="auto" w:fill="FFFFFF"/>
        </w:rPr>
        <w:t>citizens</w:t>
      </w:r>
      <w:r w:rsidRPr="00D9651B">
        <w:rPr>
          <w:rFonts w:eastAsia="Calibri" w:cs="Times New Roman"/>
          <w:szCs w:val="24"/>
          <w:shd w:val="clear" w:color="auto" w:fill="FFFFFF"/>
        </w:rPr>
        <w:t xml:space="preserve"> from </w:t>
      </w:r>
      <w:r w:rsidR="00156692" w:rsidRPr="00D9651B">
        <w:rPr>
          <w:rFonts w:eastAsia="Calibri" w:cs="Times New Roman"/>
          <w:szCs w:val="24"/>
          <w:shd w:val="clear" w:color="auto" w:fill="FFFFFF"/>
        </w:rPr>
        <w:t>vot</w:t>
      </w:r>
      <w:r w:rsidRPr="00D9651B">
        <w:rPr>
          <w:rFonts w:eastAsia="Calibri" w:cs="Times New Roman"/>
          <w:szCs w:val="24"/>
          <w:shd w:val="clear" w:color="auto" w:fill="FFFFFF"/>
        </w:rPr>
        <w:t xml:space="preserve">ing </w:t>
      </w:r>
      <w:r w:rsidR="00156692" w:rsidRPr="00D9651B">
        <w:rPr>
          <w:rFonts w:eastAsia="Calibri" w:cs="Times New Roman"/>
          <w:szCs w:val="24"/>
          <w:shd w:val="clear" w:color="auto" w:fill="FFFFFF"/>
        </w:rPr>
        <w:t xml:space="preserve">for </w:t>
      </w:r>
      <w:r w:rsidRPr="00D9651B">
        <w:rPr>
          <w:rFonts w:eastAsia="Calibri" w:cs="Times New Roman"/>
          <w:szCs w:val="24"/>
          <w:shd w:val="clear" w:color="auto" w:fill="FFFFFF"/>
        </w:rPr>
        <w:t>a minor party or independent candidate is unconstitutional,</w:t>
      </w:r>
      <w:r w:rsidR="00156692" w:rsidRPr="00D9651B">
        <w:rPr>
          <w:rFonts w:eastAsia="Calibri" w:cs="Times New Roman"/>
          <w:szCs w:val="24"/>
          <w:shd w:val="clear" w:color="auto" w:fill="FFFFFF"/>
        </w:rPr>
        <w:t xml:space="preserve"> </w:t>
      </w:r>
      <w:r w:rsidRPr="00D9651B">
        <w:rPr>
          <w:rFonts w:eastAsia="Calibri" w:cs="Times New Roman"/>
          <w:i/>
          <w:iCs/>
          <w:szCs w:val="24"/>
          <w:shd w:val="clear" w:color="auto" w:fill="FFFFFF"/>
        </w:rPr>
        <w:t>see</w:t>
      </w:r>
      <w:r w:rsidRPr="00D9651B">
        <w:rPr>
          <w:rFonts w:eastAsia="Calibri" w:cs="Times New Roman"/>
          <w:i/>
          <w:iCs/>
          <w:szCs w:val="24"/>
          <w:bdr w:val="none" w:sz="0" w:space="0" w:color="auto" w:frame="1"/>
          <w:shd w:val="clear" w:color="auto" w:fill="FFFFFF"/>
        </w:rPr>
        <w:t> </w:t>
      </w:r>
      <w:r w:rsidRPr="00D9651B">
        <w:rPr>
          <w:rFonts w:eastAsia="Calibri" w:cs="Times New Roman"/>
          <w:bCs/>
          <w:i/>
          <w:iCs/>
          <w:szCs w:val="24"/>
          <w:bdr w:val="none" w:sz="0" w:space="0" w:color="auto" w:frame="1"/>
          <w:shd w:val="clear" w:color="auto" w:fill="FFFFFF"/>
        </w:rPr>
        <w:t>Anderson</w:t>
      </w:r>
      <w:r w:rsidR="003045CA" w:rsidRPr="00D9651B">
        <w:rPr>
          <w:rFonts w:eastAsia="Calibri" w:cs="Times New Roman"/>
          <w:bCs/>
          <w:szCs w:val="24"/>
          <w:bdr w:val="none" w:sz="0" w:space="0" w:color="auto" w:frame="1"/>
          <w:shd w:val="clear" w:color="auto" w:fill="FFFFFF"/>
        </w:rPr>
        <w:t>,</w:t>
      </w:r>
      <w:r w:rsidRPr="00D9651B">
        <w:rPr>
          <w:rFonts w:eastAsia="Calibri" w:cs="Times New Roman"/>
          <w:szCs w:val="24"/>
          <w:bdr w:val="none" w:sz="0" w:space="0" w:color="auto" w:frame="1"/>
          <w:shd w:val="clear" w:color="auto" w:fill="FFFFFF"/>
        </w:rPr>
        <w:t xml:space="preserve"> 460 U.S. </w:t>
      </w:r>
      <w:r w:rsidR="003045CA" w:rsidRPr="00D9651B">
        <w:rPr>
          <w:rFonts w:eastAsia="Calibri" w:cs="Times New Roman"/>
          <w:szCs w:val="24"/>
          <w:bdr w:val="none" w:sz="0" w:space="0" w:color="auto" w:frame="1"/>
          <w:shd w:val="clear" w:color="auto" w:fill="FFFFFF"/>
        </w:rPr>
        <w:t xml:space="preserve">at </w:t>
      </w:r>
      <w:r w:rsidRPr="00D9651B">
        <w:rPr>
          <w:rFonts w:eastAsia="Calibri" w:cs="Times New Roman"/>
          <w:szCs w:val="24"/>
          <w:bdr w:val="none" w:sz="0" w:space="0" w:color="auto" w:frame="1"/>
          <w:shd w:val="clear" w:color="auto" w:fill="FFFFFF"/>
        </w:rPr>
        <w:t>793</w:t>
      </w:r>
      <w:r w:rsidRPr="00D9651B">
        <w:rPr>
          <w:rFonts w:eastAsia="Calibri" w:cs="Times New Roman"/>
          <w:szCs w:val="24"/>
        </w:rPr>
        <w:t xml:space="preserve">; </w:t>
      </w:r>
      <w:r w:rsidRPr="00D9651B">
        <w:rPr>
          <w:rFonts w:eastAsia="Calibri" w:cs="Times New Roman"/>
          <w:i/>
          <w:iCs/>
          <w:szCs w:val="24"/>
          <w:bdr w:val="none" w:sz="0" w:space="0" w:color="auto" w:frame="1"/>
          <w:shd w:val="clear" w:color="auto" w:fill="FFFFFF"/>
        </w:rPr>
        <w:t>Williams</w:t>
      </w:r>
      <w:r w:rsidR="003045CA" w:rsidRPr="00D9651B">
        <w:rPr>
          <w:rFonts w:eastAsia="Calibri" w:cs="Times New Roman"/>
          <w:szCs w:val="24"/>
          <w:bdr w:val="none" w:sz="0" w:space="0" w:color="auto" w:frame="1"/>
          <w:shd w:val="clear" w:color="auto" w:fill="FFFFFF"/>
        </w:rPr>
        <w:t>,</w:t>
      </w:r>
      <w:r w:rsidRPr="00D9651B">
        <w:rPr>
          <w:rFonts w:eastAsia="Calibri" w:cs="Times New Roman"/>
          <w:szCs w:val="24"/>
          <w:bdr w:val="none" w:sz="0" w:space="0" w:color="auto" w:frame="1"/>
          <w:shd w:val="clear" w:color="auto" w:fill="FFFFFF"/>
        </w:rPr>
        <w:t xml:space="preserve"> 393 U.S. </w:t>
      </w:r>
      <w:r w:rsidR="003045CA" w:rsidRPr="00D9651B">
        <w:rPr>
          <w:rFonts w:eastAsia="Calibri" w:cs="Times New Roman"/>
          <w:szCs w:val="24"/>
          <w:bdr w:val="none" w:sz="0" w:space="0" w:color="auto" w:frame="1"/>
          <w:shd w:val="clear" w:color="auto" w:fill="FFFFFF"/>
        </w:rPr>
        <w:t>at</w:t>
      </w:r>
      <w:r w:rsidRPr="00D9651B">
        <w:rPr>
          <w:rFonts w:eastAsia="Calibri" w:cs="Times New Roman"/>
          <w:szCs w:val="24"/>
          <w:bdr w:val="none" w:sz="0" w:space="0" w:color="auto" w:frame="1"/>
          <w:shd w:val="clear" w:color="auto" w:fill="FFFFFF"/>
        </w:rPr>
        <w:t xml:space="preserve"> 32</w:t>
      </w:r>
      <w:r w:rsidRPr="00D9651B">
        <w:rPr>
          <w:rFonts w:eastAsia="Calibri" w:cs="Times New Roman"/>
          <w:szCs w:val="24"/>
        </w:rPr>
        <w:t>, a law like Delaware</w:t>
      </w:r>
      <w:r w:rsidR="003045CA" w:rsidRPr="00D9651B">
        <w:rPr>
          <w:rFonts w:eastAsia="Calibri" w:cs="Times New Roman"/>
          <w:szCs w:val="24"/>
        </w:rPr>
        <w:t>’</w:t>
      </w:r>
      <w:r w:rsidRPr="00D9651B">
        <w:rPr>
          <w:rFonts w:eastAsia="Calibri" w:cs="Times New Roman"/>
          <w:szCs w:val="24"/>
        </w:rPr>
        <w:t>s</w:t>
      </w:r>
      <w:r w:rsidR="003045CA" w:rsidRPr="00D9651B">
        <w:rPr>
          <w:rFonts w:eastAsia="Calibri" w:cs="Times New Roman"/>
          <w:szCs w:val="24"/>
        </w:rPr>
        <w:t xml:space="preserve"> Two-Party Provision, which</w:t>
      </w:r>
      <w:r w:rsidRPr="00D9651B">
        <w:rPr>
          <w:rFonts w:eastAsia="Calibri" w:cs="Times New Roman"/>
          <w:szCs w:val="24"/>
        </w:rPr>
        <w:t xml:space="preserve"> </w:t>
      </w:r>
      <w:r w:rsidR="003045CA" w:rsidRPr="00D9651B">
        <w:rPr>
          <w:rFonts w:eastAsia="Calibri" w:cs="Times New Roman"/>
          <w:szCs w:val="24"/>
        </w:rPr>
        <w:t>prohibits</w:t>
      </w:r>
      <w:r w:rsidRPr="00D9651B">
        <w:rPr>
          <w:rFonts w:eastAsia="Calibri" w:cs="Times New Roman"/>
          <w:szCs w:val="24"/>
        </w:rPr>
        <w:t xml:space="preserve"> the appointment of minor party members</w:t>
      </w:r>
      <w:r w:rsidR="003045CA" w:rsidRPr="00D9651B">
        <w:rPr>
          <w:rFonts w:eastAsia="Calibri" w:cs="Times New Roman"/>
          <w:szCs w:val="24"/>
        </w:rPr>
        <w:t xml:space="preserve"> and independents,</w:t>
      </w:r>
      <w:r w:rsidRPr="00D9651B">
        <w:rPr>
          <w:rFonts w:eastAsia="Calibri" w:cs="Times New Roman"/>
          <w:szCs w:val="24"/>
        </w:rPr>
        <w:t xml:space="preserve"> is unconstitutional.  </w:t>
      </w:r>
    </w:p>
    <w:p w14:paraId="7124C726" w14:textId="29AF6BDC" w:rsidR="005375C4" w:rsidRPr="00D9651B" w:rsidRDefault="00A92F70" w:rsidP="005375C4">
      <w:pPr>
        <w:pStyle w:val="Heading1"/>
        <w:ind w:left="1440" w:hanging="720"/>
        <w:rPr>
          <w:rFonts w:ascii="Times New Roman" w:eastAsia="Calibri" w:hAnsi="Times New Roman" w:cs="Times New Roman"/>
          <w:szCs w:val="24"/>
        </w:rPr>
      </w:pPr>
      <w:r>
        <w:rPr>
          <w:rFonts w:ascii="Times New Roman" w:eastAsia="Calibri" w:hAnsi="Times New Roman" w:cs="Times New Roman"/>
          <w:b/>
          <w:bCs/>
          <w:szCs w:val="24"/>
        </w:rPr>
        <w:t>THE TWO-PARTY PROVISION FURTHERS PARTISAN INTERESTS, NOT LEGITIMATE OR COMPELLING STATE INTERESTS.</w:t>
      </w:r>
      <w:bookmarkStart w:id="1" w:name="_GoBack"/>
      <w:bookmarkEnd w:id="1"/>
    </w:p>
    <w:p w14:paraId="28DED7CA" w14:textId="77777777" w:rsidR="005375C4" w:rsidRPr="00D9651B" w:rsidRDefault="005375C4" w:rsidP="005375C4">
      <w:pPr>
        <w:rPr>
          <w:rFonts w:cs="Times New Roman"/>
          <w:szCs w:val="24"/>
        </w:rPr>
      </w:pPr>
    </w:p>
    <w:p w14:paraId="54A2A9B1" w14:textId="77777777" w:rsidR="000D4DFD" w:rsidRDefault="00D9651B" w:rsidP="000D4DFD">
      <w:pPr>
        <w:spacing w:line="480" w:lineRule="auto"/>
        <w:ind w:firstLine="720"/>
        <w:jc w:val="both"/>
        <w:rPr>
          <w:rFonts w:eastAsia="Calibri" w:cs="Times New Roman"/>
          <w:szCs w:val="24"/>
          <w:shd w:val="clear" w:color="auto" w:fill="FFFFFF"/>
        </w:rPr>
      </w:pPr>
      <w:r w:rsidRPr="00D9651B">
        <w:rPr>
          <w:rFonts w:eastAsia="Calibri" w:cs="Times New Roman"/>
          <w:szCs w:val="24"/>
          <w:shd w:val="clear" w:color="auto" w:fill="FFFFFF"/>
        </w:rPr>
        <w:t>T</w:t>
      </w:r>
      <w:r w:rsidR="005375C4" w:rsidRPr="005375C4">
        <w:rPr>
          <w:rFonts w:eastAsia="Calibri" w:cs="Times New Roman"/>
          <w:szCs w:val="24"/>
          <w:shd w:val="clear" w:color="auto" w:fill="FFFFFF"/>
        </w:rPr>
        <w:t>h</w:t>
      </w:r>
      <w:r>
        <w:rPr>
          <w:rFonts w:eastAsia="Calibri" w:cs="Times New Roman"/>
          <w:szCs w:val="24"/>
          <w:shd w:val="clear" w:color="auto" w:fill="FFFFFF"/>
        </w:rPr>
        <w:t>is</w:t>
      </w:r>
      <w:r w:rsidR="005375C4" w:rsidRPr="005375C4">
        <w:rPr>
          <w:rFonts w:eastAsia="Calibri" w:cs="Times New Roman"/>
          <w:szCs w:val="24"/>
          <w:shd w:val="clear" w:color="auto" w:fill="FFFFFF"/>
        </w:rPr>
        <w:t xml:space="preserve"> Court</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s </w:t>
      </w:r>
      <w:r>
        <w:rPr>
          <w:rFonts w:eastAsia="Calibri" w:cs="Times New Roman"/>
          <w:szCs w:val="24"/>
          <w:shd w:val="clear" w:color="auto" w:fill="FFFFFF"/>
        </w:rPr>
        <w:t>decis</w:t>
      </w:r>
      <w:r w:rsidR="005375C4" w:rsidRPr="005375C4">
        <w:rPr>
          <w:rFonts w:eastAsia="Calibri" w:cs="Times New Roman"/>
          <w:szCs w:val="24"/>
          <w:shd w:val="clear" w:color="auto" w:fill="FFFFFF"/>
        </w:rPr>
        <w:t xml:space="preserve">ions in cases like </w:t>
      </w:r>
      <w:r w:rsidR="005375C4" w:rsidRPr="005375C4">
        <w:rPr>
          <w:rFonts w:eastAsia="Calibri" w:cs="Times New Roman"/>
          <w:bCs/>
          <w:i/>
          <w:iCs/>
          <w:szCs w:val="24"/>
          <w:bdr w:val="none" w:sz="0" w:space="0" w:color="auto" w:frame="1"/>
          <w:shd w:val="clear" w:color="auto" w:fill="FFFFFF"/>
        </w:rPr>
        <w:t>Anderson</w:t>
      </w:r>
      <w:r>
        <w:rPr>
          <w:rFonts w:eastAsia="Calibri" w:cs="Times New Roman"/>
          <w:i/>
          <w:iCs/>
          <w:szCs w:val="24"/>
          <w:bdr w:val="none" w:sz="0" w:space="0" w:color="auto" w:frame="1"/>
          <w:shd w:val="clear" w:color="auto" w:fill="FFFFFF"/>
        </w:rPr>
        <w:t xml:space="preserve"> </w:t>
      </w:r>
      <w:r w:rsidR="005375C4" w:rsidRPr="005375C4">
        <w:rPr>
          <w:rFonts w:eastAsia="Calibri" w:cs="Times New Roman"/>
          <w:szCs w:val="24"/>
        </w:rPr>
        <w:t xml:space="preserve">and </w:t>
      </w:r>
      <w:r w:rsidR="005375C4" w:rsidRPr="005375C4">
        <w:rPr>
          <w:rFonts w:eastAsia="Calibri" w:cs="Times New Roman"/>
          <w:i/>
          <w:iCs/>
          <w:szCs w:val="24"/>
          <w:bdr w:val="none" w:sz="0" w:space="0" w:color="auto" w:frame="1"/>
          <w:shd w:val="clear" w:color="auto" w:fill="FFFFFF"/>
        </w:rPr>
        <w:t>Williams</w:t>
      </w:r>
      <w:r w:rsidR="005375C4" w:rsidRPr="005375C4">
        <w:rPr>
          <w:rFonts w:eastAsia="Calibri" w:cs="Times New Roman"/>
          <w:szCs w:val="24"/>
        </w:rPr>
        <w:t xml:space="preserve"> are </w:t>
      </w:r>
      <w:r>
        <w:rPr>
          <w:rFonts w:eastAsia="Calibri" w:cs="Times New Roman"/>
          <w:szCs w:val="24"/>
          <w:shd w:val="clear" w:color="auto" w:fill="FFFFFF"/>
        </w:rPr>
        <w:t>consistent with the Framers’ conception of the role of political parties in regulating the nation’s political and electoral processes</w:t>
      </w:r>
      <w:r w:rsidR="005375C4" w:rsidRPr="005375C4">
        <w:rPr>
          <w:rFonts w:eastAsia="Calibri" w:cs="Times New Roman"/>
          <w:szCs w:val="24"/>
          <w:shd w:val="clear" w:color="auto" w:fill="FFFFFF"/>
        </w:rPr>
        <w:t>. The original Constitution expressly recognized the likelihood that multiple presidential candidates would receive votes in the Electoral College. Should no single candidate win a majority</w:t>
      </w:r>
      <w:r>
        <w:rPr>
          <w:rFonts w:eastAsia="Calibri" w:cs="Times New Roman"/>
          <w:szCs w:val="24"/>
          <w:shd w:val="clear" w:color="auto" w:fill="FFFFFF"/>
        </w:rPr>
        <w:t xml:space="preserve"> of Electoral College votes</w:t>
      </w:r>
      <w:r w:rsidR="005375C4" w:rsidRPr="005375C4">
        <w:rPr>
          <w:rFonts w:eastAsia="Calibri" w:cs="Times New Roman"/>
          <w:szCs w:val="24"/>
          <w:shd w:val="clear" w:color="auto" w:fill="FFFFFF"/>
        </w:rPr>
        <w:t>, Article II stated, the House of Representatives would pick the President</w:t>
      </w:r>
      <w:r>
        <w:rPr>
          <w:rFonts w:eastAsia="Calibri" w:cs="Times New Roman"/>
          <w:szCs w:val="24"/>
          <w:shd w:val="clear" w:color="auto" w:fill="FFFFFF"/>
        </w:rPr>
        <w:t xml:space="preserve"> “</w:t>
      </w:r>
      <w:r w:rsidR="005375C4" w:rsidRPr="005375C4">
        <w:rPr>
          <w:rFonts w:eastAsia="Calibri" w:cs="Times New Roman"/>
          <w:szCs w:val="24"/>
          <w:shd w:val="clear" w:color="auto" w:fill="FFFFFF"/>
        </w:rPr>
        <w:t>from the five highest on the List</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 </w:t>
      </w:r>
      <w:r w:rsidR="005375C4" w:rsidRPr="005375C4">
        <w:rPr>
          <w:rFonts w:eastAsia="Calibri" w:cs="Times New Roman"/>
          <w:i/>
          <w:iCs/>
          <w:szCs w:val="24"/>
          <w:shd w:val="clear" w:color="auto" w:fill="FFFFFF"/>
        </w:rPr>
        <w:t>See</w:t>
      </w:r>
      <w:r w:rsidR="005375C4" w:rsidRPr="005375C4">
        <w:rPr>
          <w:rFonts w:eastAsia="Calibri" w:cs="Times New Roman"/>
          <w:szCs w:val="24"/>
          <w:shd w:val="clear" w:color="auto" w:fill="FFFFFF"/>
        </w:rPr>
        <w:t xml:space="preserve"> U.S. Const., art. II, § 1. </w:t>
      </w:r>
      <w:r w:rsidR="000D4DFD">
        <w:rPr>
          <w:rFonts w:eastAsia="Calibri" w:cs="Times New Roman"/>
          <w:szCs w:val="24"/>
          <w:shd w:val="clear" w:color="auto" w:fill="FFFFFF"/>
        </w:rPr>
        <w:t>And when the Twelfth Amendment was ratified in 1804</w:t>
      </w:r>
      <w:r w:rsidR="005375C4" w:rsidRPr="005375C4">
        <w:rPr>
          <w:rFonts w:eastAsia="Calibri" w:cs="Times New Roman"/>
          <w:szCs w:val="24"/>
          <w:shd w:val="clear" w:color="auto" w:fill="FFFFFF"/>
        </w:rPr>
        <w:t xml:space="preserve">, </w:t>
      </w:r>
      <w:r w:rsidR="000D4DFD">
        <w:rPr>
          <w:rFonts w:eastAsia="Calibri" w:cs="Times New Roman"/>
          <w:szCs w:val="24"/>
          <w:shd w:val="clear" w:color="auto" w:fill="FFFFFF"/>
        </w:rPr>
        <w:t>it provided</w:t>
      </w:r>
      <w:r w:rsidR="005375C4" w:rsidRPr="005375C4">
        <w:rPr>
          <w:rFonts w:eastAsia="Calibri" w:cs="Times New Roman"/>
          <w:szCs w:val="24"/>
          <w:shd w:val="clear" w:color="auto" w:fill="FFFFFF"/>
        </w:rPr>
        <w:t xml:space="preserve"> that</w:t>
      </w:r>
      <w:r w:rsidR="000D4DFD">
        <w:rPr>
          <w:rFonts w:eastAsia="Calibri" w:cs="Times New Roman"/>
          <w:szCs w:val="24"/>
          <w:shd w:val="clear" w:color="auto" w:fill="FFFFFF"/>
        </w:rPr>
        <w:t xml:space="preserve"> the candidates who received</w:t>
      </w:r>
      <w:r w:rsidR="005375C4" w:rsidRPr="005375C4">
        <w:rPr>
          <w:rFonts w:eastAsia="Calibri" w:cs="Times New Roman"/>
          <w:szCs w:val="24"/>
          <w:shd w:val="clear" w:color="auto" w:fill="FFFFFF"/>
        </w:rPr>
        <w:t xml:space="preserve"> </w:t>
      </w:r>
      <w:r w:rsidR="000D4DFD">
        <w:rPr>
          <w:rFonts w:eastAsia="Calibri" w:cs="Times New Roman"/>
          <w:szCs w:val="24"/>
          <w:shd w:val="clear" w:color="auto" w:fill="FFFFFF"/>
        </w:rPr>
        <w:t>“</w:t>
      </w:r>
      <w:r w:rsidR="005375C4" w:rsidRPr="005375C4">
        <w:rPr>
          <w:rFonts w:eastAsia="Calibri" w:cs="Times New Roman"/>
          <w:szCs w:val="24"/>
          <w:shd w:val="clear" w:color="auto" w:fill="FFFFFF"/>
        </w:rPr>
        <w:t xml:space="preserve">the highest numbers not </w:t>
      </w:r>
      <w:r w:rsidR="005375C4" w:rsidRPr="005375C4">
        <w:rPr>
          <w:rFonts w:eastAsia="Calibri" w:cs="Times New Roman"/>
          <w:szCs w:val="24"/>
          <w:shd w:val="clear" w:color="auto" w:fill="FFFFFF"/>
        </w:rPr>
        <w:lastRenderedPageBreak/>
        <w:t>exceeding three on the list of those voted for as President</w:t>
      </w:r>
      <w:r w:rsidR="000D4DFD">
        <w:rPr>
          <w:rFonts w:eastAsia="Calibri" w:cs="Times New Roman"/>
          <w:szCs w:val="24"/>
          <w:shd w:val="clear" w:color="auto" w:fill="FFFFFF"/>
        </w:rPr>
        <w:t>”</w:t>
      </w:r>
      <w:r w:rsidR="005375C4" w:rsidRPr="005375C4">
        <w:rPr>
          <w:rFonts w:eastAsia="Calibri" w:cs="Times New Roman"/>
          <w:szCs w:val="24"/>
          <w:shd w:val="clear" w:color="auto" w:fill="FFFFFF"/>
        </w:rPr>
        <w:t xml:space="preserve"> would proceed for selection by the House. </w:t>
      </w:r>
      <w:r w:rsidR="000D4DFD">
        <w:rPr>
          <w:rFonts w:eastAsia="Calibri" w:cs="Times New Roman"/>
          <w:szCs w:val="24"/>
          <w:shd w:val="clear" w:color="auto" w:fill="FFFFFF"/>
        </w:rPr>
        <w:t>Thus,</w:t>
      </w:r>
      <w:r w:rsidR="005375C4" w:rsidRPr="005375C4">
        <w:rPr>
          <w:rFonts w:eastAsia="Calibri" w:cs="Times New Roman"/>
          <w:szCs w:val="24"/>
          <w:shd w:val="clear" w:color="auto" w:fill="FFFFFF"/>
        </w:rPr>
        <w:t xml:space="preserve"> both the Framers of 1787 and those a half a generation later expected</w:t>
      </w:r>
      <w:r w:rsidR="000D4DFD">
        <w:rPr>
          <w:rFonts w:eastAsia="Calibri" w:cs="Times New Roman"/>
          <w:szCs w:val="24"/>
          <w:shd w:val="clear" w:color="auto" w:fill="FFFFFF"/>
        </w:rPr>
        <w:t xml:space="preserve"> that</w:t>
      </w:r>
      <w:r w:rsidR="005375C4" w:rsidRPr="005375C4">
        <w:rPr>
          <w:rFonts w:eastAsia="Calibri" w:cs="Times New Roman"/>
          <w:szCs w:val="24"/>
          <w:shd w:val="clear" w:color="auto" w:fill="FFFFFF"/>
        </w:rPr>
        <w:t xml:space="preserve"> more than two political parties </w:t>
      </w:r>
      <w:r w:rsidR="000D4DFD">
        <w:rPr>
          <w:rFonts w:eastAsia="Calibri" w:cs="Times New Roman"/>
          <w:szCs w:val="24"/>
          <w:shd w:val="clear" w:color="auto" w:fill="FFFFFF"/>
        </w:rPr>
        <w:t xml:space="preserve">would </w:t>
      </w:r>
      <w:r w:rsidR="005375C4" w:rsidRPr="005375C4">
        <w:rPr>
          <w:rFonts w:eastAsia="Calibri" w:cs="Times New Roman"/>
          <w:szCs w:val="24"/>
          <w:shd w:val="clear" w:color="auto" w:fill="FFFFFF"/>
        </w:rPr>
        <w:t>exist</w:t>
      </w:r>
      <w:r w:rsidR="000D4DFD">
        <w:rPr>
          <w:rFonts w:eastAsia="Calibri" w:cs="Times New Roman"/>
          <w:szCs w:val="24"/>
          <w:shd w:val="clear" w:color="auto" w:fill="FFFFFF"/>
        </w:rPr>
        <w:t xml:space="preserve"> and play an active role in the nation’s political process</w:t>
      </w:r>
      <w:r w:rsidR="005375C4" w:rsidRPr="005375C4">
        <w:rPr>
          <w:rFonts w:eastAsia="Calibri" w:cs="Times New Roman"/>
          <w:szCs w:val="24"/>
          <w:shd w:val="clear" w:color="auto" w:fill="FFFFFF"/>
        </w:rPr>
        <w:t>.</w:t>
      </w:r>
    </w:p>
    <w:p w14:paraId="2FEE2400" w14:textId="77777777" w:rsidR="00050F7E" w:rsidRDefault="005375C4" w:rsidP="00050F7E">
      <w:pPr>
        <w:spacing w:line="480" w:lineRule="auto"/>
        <w:ind w:firstLine="720"/>
        <w:jc w:val="both"/>
        <w:rPr>
          <w:rFonts w:eastAsia="Calibri" w:cs="Times New Roman"/>
          <w:szCs w:val="24"/>
          <w:shd w:val="clear" w:color="auto" w:fill="FFFFFF"/>
        </w:rPr>
      </w:pPr>
      <w:r w:rsidRPr="005375C4">
        <w:rPr>
          <w:rFonts w:eastAsia="Calibri" w:cs="Times New Roman"/>
          <w:szCs w:val="24"/>
          <w:shd w:val="clear" w:color="auto" w:fill="FFFFFF"/>
        </w:rPr>
        <w:t>The</w:t>
      </w:r>
      <w:r w:rsidR="000D4DFD">
        <w:rPr>
          <w:rFonts w:eastAsia="Calibri" w:cs="Times New Roman"/>
          <w:szCs w:val="24"/>
          <w:shd w:val="clear" w:color="auto" w:fill="FFFFFF"/>
        </w:rPr>
        <w:t xml:space="preserve"> Framers</w:t>
      </w:r>
      <w:r w:rsidRPr="005375C4">
        <w:rPr>
          <w:rFonts w:eastAsia="Calibri" w:cs="Times New Roman"/>
          <w:szCs w:val="24"/>
          <w:shd w:val="clear" w:color="auto" w:fill="FFFFFF"/>
        </w:rPr>
        <w:t xml:space="preserve"> feared </w:t>
      </w:r>
      <w:r w:rsidR="000D4DFD">
        <w:rPr>
          <w:rFonts w:eastAsia="Calibri" w:cs="Times New Roman"/>
          <w:szCs w:val="24"/>
          <w:shd w:val="clear" w:color="auto" w:fill="FFFFFF"/>
        </w:rPr>
        <w:t xml:space="preserve">the damage that </w:t>
      </w:r>
      <w:r w:rsidRPr="005375C4">
        <w:rPr>
          <w:rFonts w:eastAsia="Calibri" w:cs="Times New Roman"/>
          <w:szCs w:val="24"/>
          <w:shd w:val="clear" w:color="auto" w:fill="FFFFFF"/>
        </w:rPr>
        <w:t>two competing factions</w:t>
      </w:r>
      <w:r w:rsidR="000D4DFD">
        <w:rPr>
          <w:rFonts w:eastAsia="Calibri" w:cs="Times New Roman"/>
          <w:szCs w:val="24"/>
          <w:shd w:val="clear" w:color="auto" w:fill="FFFFFF"/>
        </w:rPr>
        <w:t xml:space="preserve"> </w:t>
      </w:r>
      <w:r w:rsidR="00730C6A">
        <w:rPr>
          <w:rFonts w:eastAsia="Calibri" w:cs="Times New Roman"/>
          <w:szCs w:val="24"/>
          <w:shd w:val="clear" w:color="auto" w:fill="FFFFFF"/>
        </w:rPr>
        <w:t>could do to the republican form of government they sought to establish</w:t>
      </w:r>
      <w:r w:rsidRPr="005375C4">
        <w:rPr>
          <w:rFonts w:eastAsia="Calibri" w:cs="Times New Roman"/>
          <w:szCs w:val="24"/>
          <w:shd w:val="clear" w:color="auto" w:fill="FFFFFF"/>
        </w:rPr>
        <w:t>. As Professors Issacharoff and Pildes</w:t>
      </w:r>
      <w:r w:rsidR="00730C6A">
        <w:rPr>
          <w:rFonts w:eastAsia="Calibri" w:cs="Times New Roman"/>
          <w:szCs w:val="24"/>
          <w:shd w:val="clear" w:color="auto" w:fill="FFFFFF"/>
        </w:rPr>
        <w:t xml:space="preserve"> explain</w:t>
      </w:r>
      <w:r w:rsidRPr="005375C4">
        <w:rPr>
          <w:rFonts w:eastAsia="Calibri" w:cs="Times New Roman"/>
          <w:szCs w:val="24"/>
          <w:shd w:val="clear" w:color="auto" w:fill="FFFFFF"/>
        </w:rPr>
        <w:t xml:space="preserve">, </w:t>
      </w:r>
      <w:r w:rsidR="00730C6A">
        <w:rPr>
          <w:rFonts w:eastAsia="Calibri" w:cs="Times New Roman"/>
          <w:szCs w:val="24"/>
          <w:shd w:val="clear" w:color="auto" w:fill="FFFFFF"/>
        </w:rPr>
        <w:t>“</w:t>
      </w:r>
      <w:r w:rsidRPr="005375C4">
        <w:rPr>
          <w:rFonts w:eastAsia="Calibri" w:cs="Times New Roman"/>
          <w:szCs w:val="24"/>
          <w:shd w:val="clear" w:color="auto" w:fill="FFFFFF"/>
        </w:rPr>
        <w:t xml:space="preserve">the constitutional structure was specifically intended to preclude the rise of political parties, which were considered the quintessential form of </w:t>
      </w:r>
      <w:r w:rsidR="00730C6A">
        <w:rPr>
          <w:rFonts w:eastAsia="Calibri" w:cs="Times New Roman"/>
          <w:szCs w:val="24"/>
          <w:shd w:val="clear" w:color="auto" w:fill="FFFFFF"/>
        </w:rPr>
        <w:t>‘</w:t>
      </w:r>
      <w:r w:rsidRPr="005375C4">
        <w:rPr>
          <w:rFonts w:eastAsia="Calibri" w:cs="Times New Roman"/>
          <w:szCs w:val="24"/>
          <w:shd w:val="clear" w:color="auto" w:fill="FFFFFF"/>
        </w:rPr>
        <w:t>faction.</w:t>
      </w:r>
      <w:r w:rsidR="00730C6A">
        <w:rPr>
          <w:rFonts w:eastAsia="Calibri" w:cs="Times New Roman"/>
          <w:szCs w:val="24"/>
          <w:shd w:val="clear" w:color="auto" w:fill="FFFFFF"/>
        </w:rPr>
        <w:t>’</w:t>
      </w:r>
      <w:r w:rsidRPr="005375C4">
        <w:rPr>
          <w:rFonts w:eastAsia="Calibri" w:cs="Times New Roman"/>
          <w:szCs w:val="24"/>
          <w:shd w:val="clear" w:color="auto" w:fill="FFFFFF"/>
        </w:rPr>
        <w:t xml:space="preserve">” Samuel Issacharoff &amp; Richard H. Pildes, </w:t>
      </w:r>
      <w:r w:rsidRPr="005375C4">
        <w:rPr>
          <w:rFonts w:eastAsia="Calibri" w:cs="Times New Roman"/>
          <w:i/>
          <w:iCs/>
          <w:szCs w:val="24"/>
          <w:shd w:val="clear" w:color="auto" w:fill="FFFFFF"/>
        </w:rPr>
        <w:t>Politics as Markets: Partisan Lockups of the Democratic Process</w:t>
      </w:r>
      <w:r w:rsidRPr="005375C4">
        <w:rPr>
          <w:rFonts w:eastAsia="Calibri" w:cs="Times New Roman"/>
          <w:szCs w:val="24"/>
          <w:shd w:val="clear" w:color="auto" w:fill="FFFFFF"/>
        </w:rPr>
        <w:t xml:space="preserve">, 50 Stan. L. Rev. 643, 713 (1998) (footnote omitted). </w:t>
      </w:r>
      <w:r w:rsidR="00730C6A">
        <w:rPr>
          <w:rFonts w:eastAsia="Calibri" w:cs="Times New Roman"/>
          <w:szCs w:val="24"/>
          <w:shd w:val="clear" w:color="auto" w:fill="FFFFFF"/>
        </w:rPr>
        <w:t>“</w:t>
      </w:r>
      <w:r w:rsidRPr="005375C4">
        <w:rPr>
          <w:rFonts w:eastAsia="Calibri" w:cs="Times New Roman"/>
          <w:szCs w:val="24"/>
          <w:shd w:val="clear" w:color="auto" w:fill="FFFFFF"/>
        </w:rPr>
        <w:t>[W]hen the Constitution was formed and early elections held, the very idea of political parties was anathema to the reigning conception of democracy ….</w:t>
      </w:r>
      <w:r w:rsidR="00730C6A">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Pr="005375C4">
        <w:rPr>
          <w:rFonts w:eastAsia="Calibri" w:cs="Times New Roman"/>
          <w:szCs w:val="24"/>
          <w:shd w:val="clear" w:color="auto" w:fill="FFFFFF"/>
        </w:rPr>
        <w:t xml:space="preserve"> at 677.</w:t>
      </w:r>
    </w:p>
    <w:p w14:paraId="10B9010C" w14:textId="77777777" w:rsidR="00C86176" w:rsidRDefault="005375C4" w:rsidP="00C86176">
      <w:pPr>
        <w:spacing w:line="480" w:lineRule="auto"/>
        <w:ind w:firstLine="720"/>
        <w:jc w:val="both"/>
        <w:rPr>
          <w:rFonts w:eastAsia="Calibri" w:cs="Times New Roman"/>
          <w:szCs w:val="24"/>
          <w:shd w:val="clear" w:color="auto" w:fill="FFFFFF"/>
        </w:rPr>
      </w:pPr>
      <w:r w:rsidRPr="005375C4">
        <w:rPr>
          <w:rFonts w:eastAsia="Calibri" w:cs="Times New Roman"/>
          <w:szCs w:val="24"/>
          <w:shd w:val="clear" w:color="auto" w:fill="FFFFFF"/>
        </w:rPr>
        <w:t>For the</w:t>
      </w:r>
      <w:r w:rsidR="00050F7E">
        <w:rPr>
          <w:rFonts w:eastAsia="Calibri" w:cs="Times New Roman"/>
          <w:szCs w:val="24"/>
          <w:shd w:val="clear" w:color="auto" w:fill="FFFFFF"/>
        </w:rPr>
        <w:t xml:space="preserve"> nation’s</w:t>
      </w:r>
      <w:r w:rsidRPr="005375C4">
        <w:rPr>
          <w:rFonts w:eastAsia="Calibri" w:cs="Times New Roman"/>
          <w:szCs w:val="24"/>
          <w:shd w:val="clear" w:color="auto" w:fill="FFFFFF"/>
        </w:rPr>
        <w:t xml:space="preserve"> first </w:t>
      </w:r>
      <w:r w:rsidR="00050F7E">
        <w:rPr>
          <w:rFonts w:eastAsia="Calibri" w:cs="Times New Roman"/>
          <w:szCs w:val="24"/>
          <w:shd w:val="clear" w:color="auto" w:fill="FFFFFF"/>
        </w:rPr>
        <w:t>150</w:t>
      </w:r>
      <w:r w:rsidRPr="005375C4">
        <w:rPr>
          <w:rFonts w:eastAsia="Calibri" w:cs="Times New Roman"/>
          <w:szCs w:val="24"/>
          <w:shd w:val="clear" w:color="auto" w:fill="FFFFFF"/>
        </w:rPr>
        <w:t xml:space="preserve"> years,</w:t>
      </w:r>
      <w:r w:rsidR="00050F7E">
        <w:rPr>
          <w:rFonts w:eastAsia="Calibri" w:cs="Times New Roman"/>
          <w:szCs w:val="24"/>
          <w:shd w:val="clear" w:color="auto" w:fill="FFFFFF"/>
        </w:rPr>
        <w:t xml:space="preserve"> the American political system </w:t>
      </w:r>
      <w:r w:rsidR="00C86176">
        <w:rPr>
          <w:rFonts w:eastAsia="Calibri" w:cs="Times New Roman"/>
          <w:szCs w:val="24"/>
          <w:shd w:val="clear" w:color="auto" w:fill="FFFFFF"/>
        </w:rPr>
        <w:t xml:space="preserve">hewed more closely to the </w:t>
      </w:r>
      <w:r w:rsidRPr="005375C4">
        <w:rPr>
          <w:rFonts w:eastAsia="Calibri" w:cs="Times New Roman"/>
          <w:szCs w:val="24"/>
          <w:shd w:val="clear" w:color="auto" w:fill="FFFFFF"/>
        </w:rPr>
        <w:t>Framers</w:t>
      </w:r>
      <w:r w:rsidR="00050F7E">
        <w:rPr>
          <w:rFonts w:eastAsia="Calibri" w:cs="Times New Roman"/>
          <w:szCs w:val="24"/>
          <w:shd w:val="clear" w:color="auto" w:fill="FFFFFF"/>
        </w:rPr>
        <w:t>’</w:t>
      </w:r>
      <w:r w:rsidRPr="005375C4">
        <w:rPr>
          <w:rFonts w:eastAsia="Calibri" w:cs="Times New Roman"/>
          <w:szCs w:val="24"/>
          <w:shd w:val="clear" w:color="auto" w:fill="FFFFFF"/>
        </w:rPr>
        <w:t xml:space="preserve"> </w:t>
      </w:r>
      <w:r w:rsidR="00C86176">
        <w:rPr>
          <w:rFonts w:eastAsia="Calibri" w:cs="Times New Roman"/>
          <w:szCs w:val="24"/>
          <w:shd w:val="clear" w:color="auto" w:fill="FFFFFF"/>
        </w:rPr>
        <w:t>intent</w:t>
      </w:r>
      <w:r w:rsidRPr="005375C4">
        <w:rPr>
          <w:rFonts w:eastAsia="Calibri" w:cs="Times New Roman"/>
          <w:szCs w:val="24"/>
          <w:shd w:val="clear" w:color="auto" w:fill="FFFFFF"/>
        </w:rPr>
        <w:t xml:space="preserve">. </w:t>
      </w:r>
      <w:r w:rsidR="00C86176">
        <w:rPr>
          <w:rFonts w:eastAsia="Calibri" w:cs="Times New Roman"/>
          <w:szCs w:val="24"/>
          <w:shd w:val="clear" w:color="auto" w:fill="FFFFFF"/>
        </w:rPr>
        <w:t>“</w:t>
      </w:r>
      <w:r w:rsidRPr="005375C4">
        <w:rPr>
          <w:rFonts w:eastAsia="Calibri" w:cs="Times New Roman"/>
          <w:szCs w:val="24"/>
          <w:shd w:val="clear" w:color="auto" w:fill="FFFFFF"/>
        </w:rPr>
        <w:t>In the nineteenth century,</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Professors Issacharoff and Pildes explain, </w:t>
      </w:r>
      <w:r w:rsidR="00C86176">
        <w:rPr>
          <w:rFonts w:eastAsia="Calibri" w:cs="Times New Roman"/>
          <w:szCs w:val="24"/>
          <w:shd w:val="clear" w:color="auto" w:fill="FFFFFF"/>
        </w:rPr>
        <w:t>“</w:t>
      </w:r>
      <w:r w:rsidRPr="005375C4">
        <w:rPr>
          <w:rFonts w:eastAsia="Calibri" w:cs="Times New Roman"/>
          <w:szCs w:val="24"/>
          <w:shd w:val="clear" w:color="auto" w:fill="FFFFFF"/>
        </w:rPr>
        <w:t>American partisan and ideological competition was far more robust. Third parties were a consistent and enduring presence, including the Liberty, Free Soil, Know-Nothing, Constitutional Union, Southern Democrat, Greenback, People's, and Prohibition Parties.</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Pr="005375C4">
        <w:rPr>
          <w:rFonts w:eastAsia="Calibri" w:cs="Times New Roman"/>
          <w:szCs w:val="24"/>
          <w:shd w:val="clear" w:color="auto" w:fill="FFFFFF"/>
        </w:rPr>
        <w:t xml:space="preserve"> at 644 (footnote omitted).  The resulting robust field of candidates translated into electoral interest</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w:t>
      </w:r>
      <w:r w:rsidR="00C86176">
        <w:rPr>
          <w:rFonts w:eastAsia="Calibri" w:cs="Times New Roman"/>
          <w:szCs w:val="24"/>
          <w:shd w:val="clear" w:color="auto" w:fill="FFFFFF"/>
        </w:rPr>
        <w:t>“</w:t>
      </w:r>
      <w:r w:rsidRPr="005375C4">
        <w:rPr>
          <w:rFonts w:eastAsia="Calibri" w:cs="Times New Roman"/>
          <w:szCs w:val="24"/>
          <w:shd w:val="clear" w:color="auto" w:fill="FFFFFF"/>
        </w:rPr>
        <w:t>[v]oter turnout dwarfed that in the present era.</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Pr="005375C4">
        <w:rPr>
          <w:rFonts w:eastAsia="Calibri" w:cs="Times New Roman"/>
          <w:szCs w:val="24"/>
          <w:shd w:val="clear" w:color="auto" w:fill="FFFFFF"/>
        </w:rPr>
        <w:t xml:space="preserve"> (footnote omitted). Meanwhile, because they </w:t>
      </w:r>
      <w:r w:rsidR="00C86176">
        <w:rPr>
          <w:rFonts w:eastAsia="Calibri" w:cs="Times New Roman"/>
          <w:szCs w:val="24"/>
          <w:shd w:val="clear" w:color="auto" w:fill="FFFFFF"/>
        </w:rPr>
        <w:t>“</w:t>
      </w:r>
      <w:r w:rsidRPr="005375C4">
        <w:rPr>
          <w:rFonts w:eastAsia="Calibri" w:cs="Times New Roman"/>
          <w:szCs w:val="24"/>
          <w:shd w:val="clear" w:color="auto" w:fill="FFFFFF"/>
        </w:rPr>
        <w:t>generated more intense and pervasive personal ties,</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Pr="005375C4">
        <w:rPr>
          <w:rFonts w:eastAsia="Calibri" w:cs="Times New Roman"/>
          <w:szCs w:val="24"/>
          <w:shd w:val="clear" w:color="auto" w:fill="FFFFFF"/>
        </w:rPr>
        <w:t>, pluralistic political parties thrived.</w:t>
      </w:r>
    </w:p>
    <w:p w14:paraId="41565B1A" w14:textId="77777777" w:rsidR="00C86176" w:rsidRDefault="005375C4" w:rsidP="00C86176">
      <w:pPr>
        <w:spacing w:line="480" w:lineRule="auto"/>
        <w:ind w:firstLine="720"/>
        <w:jc w:val="both"/>
        <w:rPr>
          <w:rFonts w:eastAsia="Calibri" w:cs="Times New Roman"/>
          <w:i/>
          <w:iCs/>
          <w:szCs w:val="24"/>
        </w:rPr>
      </w:pPr>
      <w:r w:rsidRPr="005375C4">
        <w:rPr>
          <w:rFonts w:eastAsia="Calibri" w:cs="Times New Roman"/>
          <w:szCs w:val="24"/>
          <w:shd w:val="clear" w:color="auto" w:fill="FFFFFF"/>
        </w:rPr>
        <w:t>The dawn of the Twentieth Century and the advent of official</w:t>
      </w:r>
      <w:r w:rsidR="00C86176">
        <w:rPr>
          <w:rFonts w:eastAsia="Calibri" w:cs="Times New Roman"/>
          <w:szCs w:val="24"/>
          <w:shd w:val="clear" w:color="auto" w:fill="FFFFFF"/>
        </w:rPr>
        <w:t xml:space="preserve"> state</w:t>
      </w:r>
      <w:r w:rsidRPr="005375C4">
        <w:rPr>
          <w:rFonts w:eastAsia="Calibri" w:cs="Times New Roman"/>
          <w:szCs w:val="24"/>
          <w:shd w:val="clear" w:color="auto" w:fill="FFFFFF"/>
        </w:rPr>
        <w:t xml:space="preserve"> ballots supplied the two dominant political parties of the day, the Republicans and Democrats, with the ability to begin unraveling th</w:t>
      </w:r>
      <w:r w:rsidR="00C86176">
        <w:rPr>
          <w:rFonts w:eastAsia="Calibri" w:cs="Times New Roman"/>
          <w:szCs w:val="24"/>
          <w:shd w:val="clear" w:color="auto" w:fill="FFFFFF"/>
        </w:rPr>
        <w:t>e</w:t>
      </w:r>
      <w:r w:rsidRPr="005375C4">
        <w:rPr>
          <w:rFonts w:eastAsia="Calibri" w:cs="Times New Roman"/>
          <w:szCs w:val="24"/>
          <w:shd w:val="clear" w:color="auto" w:fill="FFFFFF"/>
        </w:rPr>
        <w:t xml:space="preserve"> </w:t>
      </w:r>
      <w:r w:rsidR="00C86176">
        <w:rPr>
          <w:rFonts w:eastAsia="Calibri" w:cs="Times New Roman"/>
          <w:szCs w:val="24"/>
          <w:shd w:val="clear" w:color="auto" w:fill="FFFFFF"/>
        </w:rPr>
        <w:t>Framers’</w:t>
      </w:r>
      <w:r w:rsidRPr="005375C4">
        <w:rPr>
          <w:rFonts w:eastAsia="Calibri" w:cs="Times New Roman"/>
          <w:szCs w:val="24"/>
          <w:shd w:val="clear" w:color="auto" w:fill="FFFFFF"/>
        </w:rPr>
        <w:t xml:space="preserve"> intent. </w:t>
      </w:r>
      <w:r w:rsidRPr="005375C4">
        <w:rPr>
          <w:rFonts w:eastAsia="Calibri" w:cs="Times New Roman"/>
          <w:i/>
          <w:iCs/>
          <w:szCs w:val="24"/>
          <w:shd w:val="clear" w:color="auto" w:fill="FFFFFF"/>
        </w:rPr>
        <w:t>See</w:t>
      </w:r>
      <w:r w:rsidRPr="005375C4">
        <w:rPr>
          <w:rFonts w:eastAsia="Calibri" w:cs="Times New Roman"/>
          <w:szCs w:val="24"/>
          <w:shd w:val="clear" w:color="auto" w:fill="FFFFFF"/>
        </w:rPr>
        <w:t xml:space="preserve"> Mark R. Brown, </w:t>
      </w:r>
      <w:r w:rsidRPr="005375C4">
        <w:rPr>
          <w:rFonts w:eastAsia="Calibri" w:cs="Times New Roman"/>
          <w:i/>
          <w:iCs/>
          <w:szCs w:val="24"/>
          <w:shd w:val="clear" w:color="auto" w:fill="FFFFFF"/>
        </w:rPr>
        <w:t xml:space="preserve">Ballot Fees </w:t>
      </w:r>
      <w:r w:rsidR="00C86176">
        <w:rPr>
          <w:rFonts w:eastAsia="Calibri" w:cs="Times New Roman"/>
          <w:i/>
          <w:iCs/>
          <w:szCs w:val="24"/>
          <w:shd w:val="clear" w:color="auto" w:fill="FFFFFF"/>
        </w:rPr>
        <w:t>a</w:t>
      </w:r>
      <w:r w:rsidRPr="005375C4">
        <w:rPr>
          <w:rFonts w:eastAsia="Calibri" w:cs="Times New Roman"/>
          <w:i/>
          <w:iCs/>
          <w:szCs w:val="24"/>
          <w:shd w:val="clear" w:color="auto" w:fill="FFFFFF"/>
        </w:rPr>
        <w:t>s Impermissible Qualifications for Federal Office</w:t>
      </w:r>
      <w:r w:rsidRPr="005375C4">
        <w:rPr>
          <w:rFonts w:eastAsia="Calibri" w:cs="Times New Roman"/>
          <w:szCs w:val="24"/>
          <w:shd w:val="clear" w:color="auto" w:fill="FFFFFF"/>
        </w:rPr>
        <w:t>, 54 Am. U. L. Rev. 1283, 1288 (2005) (</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By 1916, the Australian pre-printed paper ballot had become the universal norm throughout the United States. … The development of </w:t>
      </w:r>
      <w:r w:rsidRPr="005375C4">
        <w:rPr>
          <w:rFonts w:eastAsia="Calibri" w:cs="Times New Roman"/>
          <w:szCs w:val="24"/>
          <w:shd w:val="clear" w:color="auto" w:fill="FFFFFF"/>
        </w:rPr>
        <w:lastRenderedPageBreak/>
        <w:t>pre-printed paper ballots … supplied government its first real opportunity to limit the number of candidates running for office</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By 1950, in the midst of the Second Red Scare, </w:t>
      </w:r>
      <w:r w:rsidR="00C86176">
        <w:rPr>
          <w:rFonts w:eastAsia="Calibri" w:cs="Times New Roman"/>
          <w:szCs w:val="24"/>
          <w:shd w:val="clear" w:color="auto" w:fill="FFFFFF"/>
        </w:rPr>
        <w:t>s</w:t>
      </w:r>
      <w:r w:rsidRPr="005375C4">
        <w:rPr>
          <w:rFonts w:eastAsia="Calibri" w:cs="Times New Roman"/>
          <w:szCs w:val="24"/>
          <w:shd w:val="clear" w:color="auto" w:fill="FFFFFF"/>
        </w:rPr>
        <w:t xml:space="preserve">tates across the </w:t>
      </w:r>
      <w:r w:rsidR="00C86176">
        <w:rPr>
          <w:rFonts w:eastAsia="Calibri" w:cs="Times New Roman"/>
          <w:szCs w:val="24"/>
          <w:shd w:val="clear" w:color="auto" w:fill="FFFFFF"/>
        </w:rPr>
        <w:t>c</w:t>
      </w:r>
      <w:r w:rsidRPr="005375C4">
        <w:rPr>
          <w:rFonts w:eastAsia="Calibri" w:cs="Times New Roman"/>
          <w:szCs w:val="24"/>
          <w:shd w:val="clear" w:color="auto" w:fill="FFFFFF"/>
        </w:rPr>
        <w:t>ountry began categorically excluding minor parties and independent candidates from</w:t>
      </w:r>
      <w:r w:rsidR="00C86176">
        <w:rPr>
          <w:rFonts w:eastAsia="Calibri" w:cs="Times New Roman"/>
          <w:szCs w:val="24"/>
          <w:shd w:val="clear" w:color="auto" w:fill="FFFFFF"/>
        </w:rPr>
        <w:t xml:space="preserve"> their official</w:t>
      </w:r>
      <w:r w:rsidRPr="005375C4">
        <w:rPr>
          <w:rFonts w:eastAsia="Calibri" w:cs="Times New Roman"/>
          <w:szCs w:val="24"/>
          <w:shd w:val="clear" w:color="auto" w:fill="FFFFFF"/>
        </w:rPr>
        <w:t xml:space="preserve"> ballots. </w:t>
      </w:r>
      <w:r w:rsidRPr="005375C4">
        <w:rPr>
          <w:rFonts w:eastAsia="Calibri" w:cs="Times New Roman"/>
          <w:i/>
          <w:iCs/>
          <w:szCs w:val="24"/>
          <w:shd w:val="clear" w:color="auto" w:fill="FFFFFF"/>
        </w:rPr>
        <w:t>See</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e.g.</w:t>
      </w:r>
      <w:r w:rsidRPr="005375C4">
        <w:rPr>
          <w:rFonts w:eastAsia="Calibri" w:cs="Times New Roman"/>
          <w:szCs w:val="24"/>
          <w:shd w:val="clear" w:color="auto" w:fill="FFFFFF"/>
        </w:rPr>
        <w:t xml:space="preserve">, Richard Winger, </w:t>
      </w:r>
      <w:r w:rsidRPr="005375C4">
        <w:rPr>
          <w:rFonts w:eastAsia="Calibri" w:cs="Times New Roman"/>
          <w:i/>
          <w:iCs/>
          <w:szCs w:val="24"/>
          <w:shd w:val="clear" w:color="auto" w:fill="FFFFFF"/>
        </w:rPr>
        <w:t>Ballot Format: Must Candidates Be Treated Equally?</w:t>
      </w:r>
      <w:r w:rsidRPr="005375C4">
        <w:rPr>
          <w:rFonts w:eastAsia="Calibri" w:cs="Times New Roman"/>
          <w:szCs w:val="24"/>
          <w:shd w:val="clear" w:color="auto" w:fill="FFFFFF"/>
        </w:rPr>
        <w:t>, 45 Cleve. St. L. Rev.  87, 90-92 (1997) (describing experience in Ohio and the Democrats</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and Republicans</w:t>
      </w:r>
      <w:r w:rsidR="00C86176">
        <w:rPr>
          <w:rFonts w:eastAsia="Calibri" w:cs="Times New Roman"/>
          <w:szCs w:val="24"/>
          <w:shd w:val="clear" w:color="auto" w:fill="FFFFFF"/>
        </w:rPr>
        <w:t>’</w:t>
      </w:r>
      <w:r w:rsidRPr="005375C4">
        <w:rPr>
          <w:rFonts w:eastAsia="Calibri" w:cs="Times New Roman"/>
          <w:szCs w:val="24"/>
          <w:shd w:val="clear" w:color="auto" w:fill="FFFFFF"/>
        </w:rPr>
        <w:t xml:space="preserve"> fear of Socialist and Progressive candidates for party restrictions on ballot access). </w:t>
      </w:r>
      <w:r w:rsidR="00C86176">
        <w:rPr>
          <w:rFonts w:eastAsia="Calibri" w:cs="Times New Roman"/>
          <w:szCs w:val="24"/>
          <w:shd w:val="clear" w:color="auto" w:fill="FFFFFF"/>
        </w:rPr>
        <w:t>Such c</w:t>
      </w:r>
      <w:r w:rsidRPr="005375C4">
        <w:rPr>
          <w:rFonts w:eastAsia="Calibri" w:cs="Times New Roman"/>
          <w:szCs w:val="24"/>
          <w:shd w:val="clear" w:color="auto" w:fill="FFFFFF"/>
        </w:rPr>
        <w:t>ategorical exclusions continued until</w:t>
      </w:r>
      <w:r w:rsidR="00C86176">
        <w:rPr>
          <w:rFonts w:eastAsia="Calibri" w:cs="Times New Roman"/>
          <w:szCs w:val="24"/>
          <w:shd w:val="clear" w:color="auto" w:fill="FFFFFF"/>
        </w:rPr>
        <w:t xml:space="preserve"> at least 1968, when</w:t>
      </w:r>
      <w:r w:rsidRPr="005375C4">
        <w:rPr>
          <w:rFonts w:eastAsia="Calibri" w:cs="Times New Roman"/>
          <w:szCs w:val="24"/>
          <w:shd w:val="clear" w:color="auto" w:fill="FFFFFF"/>
        </w:rPr>
        <w:t xml:space="preserve"> this Court</w:t>
      </w:r>
      <w:r w:rsidR="00C86176">
        <w:rPr>
          <w:rFonts w:eastAsia="Calibri" w:cs="Times New Roman"/>
          <w:szCs w:val="24"/>
          <w:shd w:val="clear" w:color="auto" w:fill="FFFFFF"/>
        </w:rPr>
        <w:t xml:space="preserve"> in </w:t>
      </w:r>
      <w:r w:rsidR="00C86176">
        <w:rPr>
          <w:rFonts w:eastAsia="Calibri" w:cs="Times New Roman"/>
          <w:i/>
          <w:iCs/>
          <w:szCs w:val="24"/>
          <w:shd w:val="clear" w:color="auto" w:fill="FFFFFF"/>
        </w:rPr>
        <w:t>Williams</w:t>
      </w:r>
      <w:r w:rsidRPr="005375C4">
        <w:rPr>
          <w:rFonts w:eastAsia="Calibri" w:cs="Times New Roman"/>
          <w:szCs w:val="24"/>
        </w:rPr>
        <w:t xml:space="preserve"> ordered Ohio to place George Wallace and his American Independent Party on Ohio</w:t>
      </w:r>
      <w:r w:rsidR="00C86176">
        <w:rPr>
          <w:rFonts w:eastAsia="Calibri" w:cs="Times New Roman"/>
          <w:szCs w:val="24"/>
        </w:rPr>
        <w:t>’</w:t>
      </w:r>
      <w:r w:rsidRPr="005375C4">
        <w:rPr>
          <w:rFonts w:eastAsia="Calibri" w:cs="Times New Roman"/>
          <w:szCs w:val="24"/>
        </w:rPr>
        <w:t xml:space="preserve">s presidential ballot. </w:t>
      </w:r>
      <w:r w:rsidR="00C86176">
        <w:rPr>
          <w:rFonts w:eastAsia="Calibri" w:cs="Times New Roman"/>
          <w:i/>
          <w:iCs/>
          <w:szCs w:val="24"/>
        </w:rPr>
        <w:t xml:space="preserve">See </w:t>
      </w:r>
      <w:r w:rsidR="00C86176" w:rsidRPr="005375C4">
        <w:rPr>
          <w:rFonts w:eastAsia="Calibri" w:cs="Times New Roman"/>
          <w:i/>
          <w:iCs/>
          <w:szCs w:val="24"/>
          <w:bdr w:val="none" w:sz="0" w:space="0" w:color="auto" w:frame="1"/>
          <w:shd w:val="clear" w:color="auto" w:fill="FFFFFF"/>
        </w:rPr>
        <w:t>Williams</w:t>
      </w:r>
      <w:r w:rsidR="00C86176">
        <w:rPr>
          <w:rFonts w:eastAsia="Calibri" w:cs="Times New Roman"/>
          <w:szCs w:val="24"/>
          <w:bdr w:val="none" w:sz="0" w:space="0" w:color="auto" w:frame="1"/>
          <w:shd w:val="clear" w:color="auto" w:fill="FFFFFF"/>
        </w:rPr>
        <w:t>,</w:t>
      </w:r>
      <w:r w:rsidR="00C86176" w:rsidRPr="005375C4">
        <w:rPr>
          <w:rFonts w:eastAsia="Calibri" w:cs="Times New Roman"/>
          <w:szCs w:val="24"/>
          <w:bdr w:val="none" w:sz="0" w:space="0" w:color="auto" w:frame="1"/>
          <w:shd w:val="clear" w:color="auto" w:fill="FFFFFF"/>
        </w:rPr>
        <w:t> 393 U.S. 23</w:t>
      </w:r>
      <w:r w:rsidR="00C86176">
        <w:rPr>
          <w:rFonts w:eastAsia="Calibri" w:cs="Times New Roman"/>
          <w:szCs w:val="24"/>
          <w:bdr w:val="none" w:sz="0" w:space="0" w:color="auto" w:frame="1"/>
          <w:shd w:val="clear" w:color="auto" w:fill="FFFFFF"/>
        </w:rPr>
        <w:t>.</w:t>
      </w:r>
    </w:p>
    <w:p w14:paraId="5E6D7F8B" w14:textId="33B8801A" w:rsidR="005375C4" w:rsidRPr="005375C4" w:rsidRDefault="00F765C6" w:rsidP="00C86176">
      <w:pPr>
        <w:spacing w:line="480" w:lineRule="auto"/>
        <w:ind w:firstLine="720"/>
        <w:jc w:val="both"/>
        <w:rPr>
          <w:rFonts w:eastAsia="Calibri" w:cs="Times New Roman"/>
          <w:i/>
          <w:iCs/>
          <w:szCs w:val="24"/>
        </w:rPr>
      </w:pPr>
      <w:r>
        <w:rPr>
          <w:rFonts w:eastAsia="Calibri" w:cs="Times New Roman"/>
          <w:szCs w:val="24"/>
        </w:rPr>
        <w:t>Professor Joel Friedlander places</w:t>
      </w:r>
      <w:r w:rsidR="005375C4" w:rsidRPr="005375C4">
        <w:rPr>
          <w:rFonts w:eastAsia="Calibri" w:cs="Times New Roman"/>
          <w:szCs w:val="24"/>
        </w:rPr>
        <w:t xml:space="preserve"> Delaware</w:t>
      </w:r>
      <w:r w:rsidR="00C86176">
        <w:rPr>
          <w:rFonts w:eastAsia="Calibri" w:cs="Times New Roman"/>
          <w:szCs w:val="24"/>
        </w:rPr>
        <w:t>’</w:t>
      </w:r>
      <w:r w:rsidR="005375C4" w:rsidRPr="005375C4">
        <w:rPr>
          <w:rFonts w:eastAsia="Calibri" w:cs="Times New Roman"/>
          <w:szCs w:val="24"/>
        </w:rPr>
        <w:t>s categorical exclusion of independents and minor party members</w:t>
      </w:r>
      <w:r>
        <w:rPr>
          <w:rFonts w:eastAsia="Calibri" w:cs="Times New Roman"/>
          <w:szCs w:val="24"/>
        </w:rPr>
        <w:t xml:space="preserve"> from serving as officers of its state courts</w:t>
      </w:r>
      <w:r w:rsidR="005375C4" w:rsidRPr="005375C4">
        <w:rPr>
          <w:rFonts w:eastAsia="Calibri" w:cs="Times New Roman"/>
          <w:szCs w:val="24"/>
        </w:rPr>
        <w:t xml:space="preserve"> in this </w:t>
      </w:r>
      <w:r>
        <w:rPr>
          <w:rFonts w:eastAsia="Calibri" w:cs="Times New Roman"/>
          <w:szCs w:val="24"/>
        </w:rPr>
        <w:t>historica</w:t>
      </w:r>
      <w:r w:rsidR="005375C4" w:rsidRPr="005375C4">
        <w:rPr>
          <w:rFonts w:eastAsia="Calibri" w:cs="Times New Roman"/>
          <w:szCs w:val="24"/>
        </w:rPr>
        <w:t xml:space="preserve">l context. </w:t>
      </w:r>
      <w:r>
        <w:rPr>
          <w:rFonts w:eastAsia="Calibri" w:cs="Times New Roman"/>
          <w:szCs w:val="24"/>
        </w:rPr>
        <w:t>Such exclusion</w:t>
      </w:r>
      <w:r w:rsidR="005375C4" w:rsidRPr="005375C4">
        <w:rPr>
          <w:rFonts w:eastAsia="Calibri" w:cs="Times New Roman"/>
          <w:szCs w:val="24"/>
        </w:rPr>
        <w:t xml:space="preserve"> is not, he concludes, </w:t>
      </w:r>
      <w:r>
        <w:rPr>
          <w:rFonts w:eastAsia="Calibri" w:cs="Times New Roman"/>
          <w:szCs w:val="24"/>
        </w:rPr>
        <w:t>“</w:t>
      </w:r>
      <w:r w:rsidR="005375C4" w:rsidRPr="005375C4">
        <w:rPr>
          <w:rFonts w:eastAsia="Calibri" w:cs="Times New Roman"/>
          <w:szCs w:val="24"/>
        </w:rPr>
        <w:t>a reasonable election regulation that just happens to favor the two major parties. It is a product of partisan self-dealing between Democrats and Republicans in 1951 by which they continue to share control over the state judiciary to the exclusion of Independents or members of minor parties.</w:t>
      </w:r>
      <w:r>
        <w:rPr>
          <w:rFonts w:eastAsia="Calibri" w:cs="Times New Roman"/>
          <w:szCs w:val="24"/>
        </w:rPr>
        <w:t>”</w:t>
      </w:r>
      <w:r w:rsidR="005375C4" w:rsidRPr="005375C4">
        <w:rPr>
          <w:rFonts w:eastAsia="Calibri" w:cs="Times New Roman"/>
          <w:szCs w:val="24"/>
        </w:rPr>
        <w:t xml:space="preserve"> </w:t>
      </w:r>
      <w:r w:rsidR="005375C4" w:rsidRPr="005375C4">
        <w:rPr>
          <w:rFonts w:eastAsia="Calibri" w:cs="Times New Roman"/>
          <w:szCs w:val="24"/>
          <w:shd w:val="clear" w:color="auto" w:fill="FFFFFF"/>
        </w:rPr>
        <w:t xml:space="preserve">Joel Edan Friedlander, </w:t>
      </w:r>
      <w:r w:rsidR="005375C4" w:rsidRPr="005375C4">
        <w:rPr>
          <w:rFonts w:eastAsia="Calibri" w:cs="Times New Roman"/>
          <w:i/>
          <w:iCs/>
          <w:szCs w:val="24"/>
          <w:shd w:val="clear" w:color="auto" w:fill="FFFFFF"/>
        </w:rPr>
        <w:t>Is Delaware’s “Other Major Party” Really Entitled to Half of Delaware’s Judiciary?</w:t>
      </w:r>
      <w:r w:rsidR="005375C4" w:rsidRPr="005375C4">
        <w:rPr>
          <w:rFonts w:eastAsia="Calibri" w:cs="Times New Roman"/>
          <w:szCs w:val="24"/>
          <w:shd w:val="clear" w:color="auto" w:fill="FFFFFF"/>
        </w:rPr>
        <w:t xml:space="preserve">, 58 Ariz. L. Rev. 1139, 1160 (2016). </w:t>
      </w:r>
      <w:r>
        <w:rPr>
          <w:rFonts w:eastAsia="Calibri" w:cs="Times New Roman"/>
          <w:szCs w:val="24"/>
          <w:shd w:val="clear" w:color="auto" w:fill="FFFFFF"/>
        </w:rPr>
        <w:t>The exclusion</w:t>
      </w:r>
      <w:r w:rsidR="005375C4" w:rsidRPr="005375C4">
        <w:rPr>
          <w:rFonts w:eastAsia="Calibri" w:cs="Times New Roman"/>
          <w:szCs w:val="24"/>
          <w:shd w:val="clear" w:color="auto" w:fill="FFFFFF"/>
        </w:rPr>
        <w:t xml:space="preserve"> has been perpetuated because it </w:t>
      </w:r>
      <w:r>
        <w:rPr>
          <w:rFonts w:eastAsia="Calibri" w:cs="Times New Roman"/>
          <w:szCs w:val="24"/>
          <w:shd w:val="clear" w:color="auto" w:fill="FFFFFF"/>
        </w:rPr>
        <w:t>“</w:t>
      </w:r>
      <w:r w:rsidR="005375C4" w:rsidRPr="005375C4">
        <w:rPr>
          <w:rFonts w:eastAsia="Times New Roman" w:cs="Times New Roman"/>
          <w:szCs w:val="24"/>
        </w:rPr>
        <w:t>ensures some level of institutional support for both incumbent major parties, because lawyers know that membership and participation in either major party is a path to the judiciary.</w:t>
      </w:r>
      <w:r>
        <w:rPr>
          <w:rFonts w:eastAsia="Times New Roman" w:cs="Times New Roman"/>
          <w:szCs w:val="24"/>
        </w:rPr>
        <w:t>”</w:t>
      </w:r>
      <w:r w:rsidR="005375C4" w:rsidRPr="005375C4">
        <w:rPr>
          <w:rFonts w:eastAsia="Times New Roman" w:cs="Times New Roman"/>
          <w:szCs w:val="24"/>
        </w:rPr>
        <w:t xml:space="preserve"> </w:t>
      </w:r>
      <w:r w:rsidR="005375C4" w:rsidRPr="005375C4">
        <w:rPr>
          <w:rFonts w:eastAsia="Times New Roman" w:cs="Times New Roman"/>
          <w:i/>
          <w:iCs/>
          <w:szCs w:val="24"/>
        </w:rPr>
        <w:t>Id.</w:t>
      </w:r>
    </w:p>
    <w:p w14:paraId="1CB5B1B1" w14:textId="77777777" w:rsidR="00F765C6" w:rsidRDefault="00F765C6" w:rsidP="00F765C6">
      <w:pPr>
        <w:spacing w:line="480" w:lineRule="auto"/>
        <w:ind w:firstLine="720"/>
        <w:jc w:val="both"/>
        <w:rPr>
          <w:rFonts w:eastAsia="Calibri" w:cs="Times New Roman"/>
          <w:szCs w:val="24"/>
          <w:shd w:val="clear" w:color="auto" w:fill="FFFFFF"/>
        </w:rPr>
      </w:pPr>
      <w:r>
        <w:rPr>
          <w:rFonts w:eastAsia="Calibri" w:cs="Times New Roman"/>
          <w:szCs w:val="24"/>
          <w:shd w:val="clear" w:color="auto" w:fill="FFFFFF"/>
        </w:rPr>
        <w:t>Similarly</w:t>
      </w:r>
      <w:r w:rsidR="005375C4" w:rsidRPr="005375C4">
        <w:rPr>
          <w:rFonts w:eastAsia="Calibri" w:cs="Times New Roman"/>
          <w:szCs w:val="24"/>
          <w:shd w:val="clear" w:color="auto" w:fill="FFFFFF"/>
        </w:rPr>
        <w:t xml:space="preserve">, Professors Issacharoff and Pildes have observed that </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state regulations that purportedly reflect state interests in </w:t>
      </w:r>
      <w:r>
        <w:rPr>
          <w:rFonts w:eastAsia="Calibri" w:cs="Times New Roman"/>
          <w:szCs w:val="24"/>
          <w:shd w:val="clear" w:color="auto" w:fill="FFFFFF"/>
        </w:rPr>
        <w:t>‘</w:t>
      </w:r>
      <w:r w:rsidR="005375C4" w:rsidRPr="005375C4">
        <w:rPr>
          <w:rFonts w:eastAsia="Calibri" w:cs="Times New Roman"/>
          <w:szCs w:val="24"/>
          <w:shd w:val="clear" w:color="auto" w:fill="FFFFFF"/>
        </w:rPr>
        <w:t>stability</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 or the </w:t>
      </w:r>
      <w:r>
        <w:rPr>
          <w:rFonts w:eastAsia="Calibri" w:cs="Times New Roman"/>
          <w:szCs w:val="24"/>
          <w:shd w:val="clear" w:color="auto" w:fill="FFFFFF"/>
        </w:rPr>
        <w:t>‘</w:t>
      </w:r>
      <w:r w:rsidR="005375C4" w:rsidRPr="005375C4">
        <w:rPr>
          <w:rFonts w:eastAsia="Calibri" w:cs="Times New Roman"/>
          <w:szCs w:val="24"/>
          <w:shd w:val="clear" w:color="auto" w:fill="FFFFFF"/>
        </w:rPr>
        <w:t>avoidance of factionalism</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 can be seen as tools by which existing parties seek to raise the cost of defection and entrench existing partisan forces more deeply into office.</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 Issacharoff &amp; Pildes, </w:t>
      </w:r>
      <w:r w:rsidR="005375C4" w:rsidRPr="005375C4">
        <w:rPr>
          <w:rFonts w:eastAsia="Calibri" w:cs="Times New Roman"/>
          <w:i/>
          <w:iCs/>
          <w:szCs w:val="24"/>
          <w:shd w:val="clear" w:color="auto" w:fill="FFFFFF"/>
        </w:rPr>
        <w:t>supra</w:t>
      </w:r>
      <w:r w:rsidR="005375C4" w:rsidRPr="005375C4">
        <w:rPr>
          <w:rFonts w:eastAsia="Calibri" w:cs="Times New Roman"/>
          <w:szCs w:val="24"/>
          <w:shd w:val="clear" w:color="auto" w:fill="FFFFFF"/>
        </w:rPr>
        <w:t xml:space="preserve">, at 643. Far from </w:t>
      </w:r>
      <w:r>
        <w:rPr>
          <w:rFonts w:eastAsia="Calibri" w:cs="Times New Roman"/>
          <w:szCs w:val="24"/>
          <w:shd w:val="clear" w:color="auto" w:fill="FFFFFF"/>
        </w:rPr>
        <w:t xml:space="preserve">serving a legitimate </w:t>
      </w:r>
      <w:r>
        <w:rPr>
          <w:rFonts w:eastAsia="Calibri" w:cs="Times New Roman"/>
          <w:szCs w:val="24"/>
          <w:shd w:val="clear" w:color="auto" w:fill="FFFFFF"/>
        </w:rPr>
        <w:lastRenderedPageBreak/>
        <w:t>state interest</w:t>
      </w:r>
      <w:r w:rsidR="005375C4" w:rsidRPr="005375C4">
        <w:rPr>
          <w:rFonts w:eastAsia="Calibri" w:cs="Times New Roman"/>
          <w:szCs w:val="24"/>
          <w:shd w:val="clear" w:color="auto" w:fill="FFFFFF"/>
        </w:rPr>
        <w:t>, history teaches that duopolistic restrictions serve only the interests of the</w:t>
      </w:r>
      <w:r>
        <w:rPr>
          <w:rFonts w:eastAsia="Calibri" w:cs="Times New Roman"/>
          <w:szCs w:val="24"/>
          <w:shd w:val="clear" w:color="auto" w:fill="FFFFFF"/>
        </w:rPr>
        <w:t xml:space="preserve"> nation’</w:t>
      </w:r>
      <w:r w:rsidR="005375C4" w:rsidRPr="005375C4">
        <w:rPr>
          <w:rFonts w:eastAsia="Calibri" w:cs="Times New Roman"/>
          <w:szCs w:val="24"/>
          <w:shd w:val="clear" w:color="auto" w:fill="FFFFFF"/>
        </w:rPr>
        <w:t xml:space="preserve">s two </w:t>
      </w:r>
      <w:r>
        <w:rPr>
          <w:rFonts w:eastAsia="Calibri" w:cs="Times New Roman"/>
          <w:szCs w:val="24"/>
          <w:shd w:val="clear" w:color="auto" w:fill="FFFFFF"/>
        </w:rPr>
        <w:t xml:space="preserve">predominant </w:t>
      </w:r>
      <w:r w:rsidR="005375C4" w:rsidRPr="005375C4">
        <w:rPr>
          <w:rFonts w:eastAsia="Calibri" w:cs="Times New Roman"/>
          <w:szCs w:val="24"/>
          <w:shd w:val="clear" w:color="auto" w:fill="FFFFFF"/>
        </w:rPr>
        <w:t xml:space="preserve">political </w:t>
      </w:r>
      <w:r>
        <w:rPr>
          <w:rFonts w:eastAsia="Calibri" w:cs="Times New Roman"/>
          <w:szCs w:val="24"/>
          <w:shd w:val="clear" w:color="auto" w:fill="FFFFFF"/>
        </w:rPr>
        <w:t>partie</w:t>
      </w:r>
      <w:r w:rsidR="005375C4" w:rsidRPr="005375C4">
        <w:rPr>
          <w:rFonts w:eastAsia="Calibri" w:cs="Times New Roman"/>
          <w:szCs w:val="24"/>
          <w:shd w:val="clear" w:color="auto" w:fill="FFFFFF"/>
        </w:rPr>
        <w:t xml:space="preserve">s. This result is </w:t>
      </w:r>
      <w:r>
        <w:rPr>
          <w:rFonts w:eastAsia="Calibri" w:cs="Times New Roman"/>
          <w:szCs w:val="24"/>
          <w:shd w:val="clear" w:color="auto" w:fill="FFFFFF"/>
        </w:rPr>
        <w:t>hardly surprising</w:t>
      </w:r>
      <w:r w:rsidR="005375C4" w:rsidRPr="005375C4">
        <w:rPr>
          <w:rFonts w:eastAsia="Calibri" w:cs="Times New Roman"/>
          <w:szCs w:val="24"/>
          <w:shd w:val="clear" w:color="auto" w:fill="FFFFFF"/>
        </w:rPr>
        <w:t xml:space="preserve">. </w:t>
      </w:r>
      <w:r>
        <w:rPr>
          <w:rFonts w:eastAsia="Calibri" w:cs="Times New Roman"/>
          <w:i/>
          <w:iCs/>
          <w:szCs w:val="24"/>
          <w:shd w:val="clear" w:color="auto" w:fill="FFFFFF"/>
        </w:rPr>
        <w:t>See id.</w:t>
      </w:r>
      <w:r w:rsidR="005375C4" w:rsidRPr="005375C4">
        <w:rPr>
          <w:rFonts w:eastAsia="Calibri" w:cs="Times New Roman"/>
          <w:szCs w:val="24"/>
          <w:shd w:val="clear" w:color="auto" w:fill="FFFFFF"/>
        </w:rPr>
        <w:t xml:space="preserve"> at 682-83 (</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we should expect the two dominant parties to seek to close off avenues of third-party challenge. … </w:t>
      </w:r>
      <w:r>
        <w:rPr>
          <w:rFonts w:eastAsia="Calibri" w:cs="Times New Roman"/>
          <w:szCs w:val="24"/>
          <w:shd w:val="clear" w:color="auto" w:fill="FFFFFF"/>
        </w:rPr>
        <w:t>S</w:t>
      </w:r>
      <w:r w:rsidR="005375C4" w:rsidRPr="005375C4">
        <w:rPr>
          <w:rFonts w:eastAsia="Calibri" w:cs="Times New Roman"/>
          <w:szCs w:val="24"/>
          <w:shd w:val="clear" w:color="auto" w:fill="FFFFFF"/>
        </w:rPr>
        <w:t>uch efforts to close off third-party challenges should be a shared objective of both of the major parties, regardless of their immediate position as the majority or opposition party</w:t>
      </w:r>
      <w:r>
        <w:rPr>
          <w:rFonts w:eastAsia="Calibri" w:cs="Times New Roman"/>
          <w:szCs w:val="24"/>
          <w:shd w:val="clear" w:color="auto" w:fill="FFFFFF"/>
        </w:rPr>
        <w:t>”</w:t>
      </w:r>
      <w:r w:rsidR="005375C4" w:rsidRPr="005375C4">
        <w:rPr>
          <w:rFonts w:eastAsia="Calibri" w:cs="Times New Roman"/>
          <w:szCs w:val="24"/>
          <w:shd w:val="clear" w:color="auto" w:fill="FFFFFF"/>
        </w:rPr>
        <w:t xml:space="preserve">).  </w:t>
      </w:r>
    </w:p>
    <w:p w14:paraId="566528C9" w14:textId="77777777" w:rsidR="00DE20A2" w:rsidRDefault="00F765C6" w:rsidP="00DE20A2">
      <w:pPr>
        <w:spacing w:line="480" w:lineRule="auto"/>
        <w:ind w:firstLine="720"/>
        <w:jc w:val="both"/>
        <w:rPr>
          <w:rFonts w:eastAsia="Calibri" w:cs="Times New Roman"/>
          <w:szCs w:val="24"/>
          <w:shd w:val="clear" w:color="auto" w:fill="FFFFFF"/>
        </w:rPr>
      </w:pPr>
      <w:r>
        <w:rPr>
          <w:rFonts w:eastAsia="Calibri" w:cs="Times New Roman"/>
          <w:szCs w:val="24"/>
          <w:shd w:val="clear" w:color="auto" w:fill="FFFFFF"/>
        </w:rPr>
        <w:t>Consequently, “g</w:t>
      </w:r>
      <w:r w:rsidR="005375C4" w:rsidRPr="005375C4">
        <w:rPr>
          <w:rFonts w:eastAsia="Calibri" w:cs="Times New Roman"/>
          <w:szCs w:val="24"/>
          <w:shd w:val="clear" w:color="auto" w:fill="FFFFFF"/>
        </w:rPr>
        <w:t xml:space="preserve">ood government" claims, like that made by the Republican National Committee, </w:t>
      </w:r>
      <w:r>
        <w:rPr>
          <w:rFonts w:eastAsia="Calibri" w:cs="Times New Roman"/>
          <w:szCs w:val="24"/>
          <w:shd w:val="clear" w:color="auto" w:fill="FFFFFF"/>
        </w:rPr>
        <w:t>should</w:t>
      </w:r>
      <w:r w:rsidR="005375C4" w:rsidRPr="005375C4">
        <w:rPr>
          <w:rFonts w:eastAsia="Calibri" w:cs="Times New Roman"/>
          <w:szCs w:val="24"/>
        </w:rPr>
        <w:t xml:space="preserve"> be </w:t>
      </w:r>
      <w:r>
        <w:rPr>
          <w:rFonts w:eastAsia="Calibri" w:cs="Times New Roman"/>
          <w:szCs w:val="24"/>
        </w:rPr>
        <w:t>met with a measure of</w:t>
      </w:r>
      <w:r w:rsidR="005375C4" w:rsidRPr="005375C4">
        <w:rPr>
          <w:rFonts w:eastAsia="Calibri" w:cs="Times New Roman"/>
          <w:szCs w:val="24"/>
        </w:rPr>
        <w:t xml:space="preserve"> skepticism. </w:t>
      </w:r>
      <w:r>
        <w:rPr>
          <w:rFonts w:eastAsia="Calibri" w:cs="Times New Roman"/>
          <w:i/>
          <w:iCs/>
          <w:szCs w:val="24"/>
        </w:rPr>
        <w:t>S</w:t>
      </w:r>
      <w:r w:rsidRPr="005375C4">
        <w:rPr>
          <w:rFonts w:eastAsia="Calibri" w:cs="Times New Roman"/>
          <w:i/>
          <w:iCs/>
          <w:szCs w:val="24"/>
          <w:shd w:val="clear" w:color="auto" w:fill="FFFFFF"/>
        </w:rPr>
        <w:t>ee</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e.g.</w:t>
      </w:r>
      <w:r w:rsidRPr="005375C4">
        <w:rPr>
          <w:rFonts w:eastAsia="Calibri" w:cs="Times New Roman"/>
          <w:szCs w:val="24"/>
          <w:shd w:val="clear" w:color="auto" w:fill="FFFFFF"/>
        </w:rPr>
        <w:t xml:space="preserve">, </w:t>
      </w:r>
      <w:r w:rsidRPr="005375C4">
        <w:rPr>
          <w:rFonts w:eastAsia="Calibri" w:cs="Times New Roman"/>
          <w:i/>
          <w:iCs/>
          <w:szCs w:val="24"/>
        </w:rPr>
        <w:t>Carney v. Adams</w:t>
      </w:r>
      <w:r w:rsidRPr="005375C4">
        <w:rPr>
          <w:rFonts w:eastAsia="Calibri" w:cs="Times New Roman"/>
          <w:szCs w:val="24"/>
        </w:rPr>
        <w:t xml:space="preserve">, No. </w:t>
      </w:r>
      <w:r w:rsidR="00400A59">
        <w:rPr>
          <w:rFonts w:eastAsia="Calibri" w:cs="Times New Roman"/>
          <w:szCs w:val="24"/>
        </w:rPr>
        <w:t>19-309</w:t>
      </w:r>
      <w:r w:rsidRPr="005375C4">
        <w:rPr>
          <w:rFonts w:eastAsia="Calibri" w:cs="Times New Roman"/>
          <w:szCs w:val="24"/>
        </w:rPr>
        <w:t xml:space="preserve"> (U.S.), Corrected Amicus Curiae Brief of the Republican National Committee in Support of Petitioner, 15-16 (claiming </w:t>
      </w:r>
      <w:r w:rsidRPr="005375C4">
        <w:rPr>
          <w:rFonts w:eastAsia="Calibri" w:cs="Times New Roman"/>
          <w:szCs w:val="24"/>
          <w:shd w:val="clear" w:color="auto" w:fill="FFFFFF"/>
        </w:rPr>
        <w:t xml:space="preserve">that the two dominant political parties </w:t>
      </w:r>
      <w:r w:rsidR="00400A59">
        <w:rPr>
          <w:rFonts w:eastAsia="Calibri" w:cs="Times New Roman"/>
          <w:szCs w:val="24"/>
          <w:shd w:val="clear" w:color="auto" w:fill="FFFFFF"/>
        </w:rPr>
        <w:t>“</w:t>
      </w:r>
      <w:r w:rsidRPr="005375C4">
        <w:rPr>
          <w:rFonts w:eastAsia="Calibri" w:cs="Times New Roman"/>
          <w:szCs w:val="24"/>
        </w:rPr>
        <w:t>serve the more fundamental purpose of facilitating an organized and coherent politics—in the broadest, Aristotelian sense,</w:t>
      </w:r>
      <w:r w:rsidR="00400A59">
        <w:rPr>
          <w:rFonts w:eastAsia="Calibri" w:cs="Times New Roman"/>
          <w:szCs w:val="24"/>
        </w:rPr>
        <w:t>”</w:t>
      </w:r>
      <w:r w:rsidRPr="005375C4">
        <w:rPr>
          <w:rFonts w:eastAsia="Calibri" w:cs="Times New Roman"/>
          <w:szCs w:val="24"/>
        </w:rPr>
        <w:t xml:space="preserve"> </w:t>
      </w:r>
      <w:r w:rsidR="00400A59">
        <w:rPr>
          <w:rFonts w:eastAsia="Calibri" w:cs="Times New Roman"/>
          <w:szCs w:val="24"/>
        </w:rPr>
        <w:t xml:space="preserve">and that they </w:t>
      </w:r>
      <w:r w:rsidRPr="005375C4">
        <w:rPr>
          <w:rFonts w:eastAsia="Calibri" w:cs="Times New Roman"/>
          <w:szCs w:val="24"/>
        </w:rPr>
        <w:t xml:space="preserve">provide </w:t>
      </w:r>
      <w:r w:rsidR="00400A59">
        <w:rPr>
          <w:rFonts w:eastAsia="Calibri" w:cs="Times New Roman"/>
          <w:szCs w:val="24"/>
        </w:rPr>
        <w:t>“</w:t>
      </w:r>
      <w:r w:rsidRPr="005375C4">
        <w:rPr>
          <w:rFonts w:eastAsia="Calibri" w:cs="Times New Roman"/>
          <w:szCs w:val="24"/>
        </w:rPr>
        <w:t>a helpful indicator of what a candidate is likely to view as conducive to the good of the whole</w:t>
      </w:r>
      <w:r w:rsidR="00400A59">
        <w:rPr>
          <w:rFonts w:eastAsia="Calibri" w:cs="Times New Roman"/>
          <w:szCs w:val="24"/>
        </w:rPr>
        <w:t>”</w:t>
      </w:r>
      <w:r w:rsidRPr="005375C4">
        <w:rPr>
          <w:rFonts w:eastAsia="Calibri" w:cs="Times New Roman"/>
          <w:szCs w:val="24"/>
        </w:rPr>
        <w:t>)</w:t>
      </w:r>
      <w:r w:rsidR="00400A59">
        <w:rPr>
          <w:rFonts w:eastAsia="Calibri" w:cs="Times New Roman"/>
          <w:szCs w:val="24"/>
        </w:rPr>
        <w:t>.</w:t>
      </w:r>
      <w:r w:rsidRPr="005375C4">
        <w:rPr>
          <w:rFonts w:eastAsia="Calibri" w:cs="Times New Roman"/>
          <w:szCs w:val="24"/>
        </w:rPr>
        <w:t xml:space="preserve"> </w:t>
      </w:r>
      <w:r w:rsidR="00400A59">
        <w:rPr>
          <w:rFonts w:eastAsia="Calibri" w:cs="Times New Roman"/>
          <w:szCs w:val="24"/>
        </w:rPr>
        <w:t xml:space="preserve">Such claims must </w:t>
      </w:r>
      <w:r w:rsidR="005375C4" w:rsidRPr="005375C4">
        <w:rPr>
          <w:rFonts w:eastAsia="Calibri" w:cs="Times New Roman"/>
          <w:szCs w:val="24"/>
        </w:rPr>
        <w:t xml:space="preserve">be </w:t>
      </w:r>
      <w:r w:rsidR="00400A59">
        <w:rPr>
          <w:rFonts w:eastAsia="Calibri" w:cs="Times New Roman"/>
          <w:szCs w:val="24"/>
        </w:rPr>
        <w:t>tested against the evidence</w:t>
      </w:r>
      <w:r w:rsidR="005375C4" w:rsidRPr="005375C4">
        <w:rPr>
          <w:rFonts w:eastAsia="Calibri" w:cs="Times New Roman"/>
          <w:szCs w:val="24"/>
        </w:rPr>
        <w:t xml:space="preserve">. It cannot be enough that those who are responsible for excluding </w:t>
      </w:r>
      <w:r w:rsidR="00400A59">
        <w:rPr>
          <w:rFonts w:eastAsia="Calibri" w:cs="Times New Roman"/>
          <w:szCs w:val="24"/>
        </w:rPr>
        <w:t>their competitors cloak their actions in the garb of ‘</w:t>
      </w:r>
      <w:r w:rsidR="005375C4" w:rsidRPr="005375C4">
        <w:rPr>
          <w:rFonts w:eastAsia="Calibri" w:cs="Times New Roman"/>
          <w:szCs w:val="24"/>
        </w:rPr>
        <w:t>Aristotelian</w:t>
      </w:r>
      <w:r w:rsidR="00400A59">
        <w:rPr>
          <w:rFonts w:eastAsia="Calibri" w:cs="Times New Roman"/>
          <w:szCs w:val="24"/>
        </w:rPr>
        <w:t>’</w:t>
      </w:r>
      <w:r w:rsidR="005375C4" w:rsidRPr="005375C4">
        <w:rPr>
          <w:rFonts w:eastAsia="Calibri" w:cs="Times New Roman"/>
          <w:szCs w:val="24"/>
        </w:rPr>
        <w:t xml:space="preserve"> justice. The same goes for claims, like that made by the Republican National Committee, that </w:t>
      </w:r>
      <w:r w:rsidR="00400A59">
        <w:rPr>
          <w:rFonts w:eastAsia="Calibri" w:cs="Times New Roman"/>
          <w:szCs w:val="24"/>
        </w:rPr>
        <w:t>“</w:t>
      </w:r>
      <w:r w:rsidR="005375C4" w:rsidRPr="005375C4">
        <w:rPr>
          <w:rFonts w:eastAsia="Calibri" w:cs="Times New Roman"/>
          <w:szCs w:val="24"/>
        </w:rPr>
        <w:t>[t]he Delaware Constitution cannot plausibly reduce a better proxy into law.</w:t>
      </w:r>
      <w:r w:rsidR="00400A59">
        <w:rPr>
          <w:rFonts w:eastAsia="Calibri" w:cs="Times New Roman"/>
          <w:szCs w:val="24"/>
        </w:rPr>
        <w:t>”</w:t>
      </w:r>
      <w:r w:rsidR="005375C4" w:rsidRPr="005375C4">
        <w:rPr>
          <w:rFonts w:eastAsia="Calibri" w:cs="Times New Roman"/>
          <w:szCs w:val="24"/>
        </w:rPr>
        <w:t xml:space="preserve"> </w:t>
      </w:r>
      <w:r w:rsidR="005375C4" w:rsidRPr="005375C4">
        <w:rPr>
          <w:rFonts w:eastAsia="Calibri" w:cs="Times New Roman"/>
          <w:i/>
          <w:iCs/>
          <w:szCs w:val="24"/>
        </w:rPr>
        <w:t>Id.</w:t>
      </w:r>
      <w:r w:rsidR="005375C4" w:rsidRPr="005375C4">
        <w:rPr>
          <w:rFonts w:eastAsia="Calibri" w:cs="Times New Roman"/>
          <w:szCs w:val="24"/>
        </w:rPr>
        <w:t xml:space="preserve"> at 19. The truth of this bold proposition is </w:t>
      </w:r>
      <w:r w:rsidR="00400A59">
        <w:rPr>
          <w:rFonts w:eastAsia="Calibri" w:cs="Times New Roman"/>
          <w:szCs w:val="24"/>
        </w:rPr>
        <w:t>hardly self-evident</w:t>
      </w:r>
      <w:r w:rsidR="005375C4" w:rsidRPr="005375C4">
        <w:rPr>
          <w:rFonts w:eastAsia="Calibri" w:cs="Times New Roman"/>
          <w:szCs w:val="24"/>
        </w:rPr>
        <w:t>.</w:t>
      </w:r>
    </w:p>
    <w:p w14:paraId="4BB7983E" w14:textId="031A0FDF" w:rsidR="005375C4" w:rsidRPr="005375C4" w:rsidRDefault="005375C4" w:rsidP="00DE20A2">
      <w:pPr>
        <w:spacing w:line="480" w:lineRule="auto"/>
        <w:ind w:firstLine="720"/>
        <w:jc w:val="both"/>
        <w:rPr>
          <w:rFonts w:eastAsia="Calibri" w:cs="Times New Roman"/>
          <w:szCs w:val="24"/>
          <w:shd w:val="clear" w:color="auto" w:fill="FFFFFF"/>
        </w:rPr>
      </w:pPr>
      <w:r w:rsidRPr="005375C4">
        <w:rPr>
          <w:rFonts w:eastAsia="Calibri" w:cs="Times New Roman"/>
          <w:szCs w:val="24"/>
        </w:rPr>
        <w:t xml:space="preserve">Not only does history cast a large shadow of doubt over the </w:t>
      </w:r>
      <w:r w:rsidR="00DE20A2">
        <w:rPr>
          <w:rFonts w:eastAsia="Calibri" w:cs="Times New Roman"/>
          <w:szCs w:val="24"/>
        </w:rPr>
        <w:t>“</w:t>
      </w:r>
      <w:r w:rsidRPr="005375C4">
        <w:rPr>
          <w:rFonts w:eastAsia="Calibri" w:cs="Times New Roman"/>
          <w:szCs w:val="24"/>
        </w:rPr>
        <w:t>good government</w:t>
      </w:r>
      <w:r w:rsidR="00DE20A2">
        <w:rPr>
          <w:rFonts w:eastAsia="Calibri" w:cs="Times New Roman"/>
          <w:szCs w:val="24"/>
        </w:rPr>
        <w:t>”</w:t>
      </w:r>
      <w:r w:rsidRPr="005375C4">
        <w:rPr>
          <w:rFonts w:eastAsia="Calibri" w:cs="Times New Roman"/>
          <w:szCs w:val="24"/>
        </w:rPr>
        <w:t xml:space="preserve"> claim, </w:t>
      </w:r>
      <w:r w:rsidRPr="005375C4">
        <w:rPr>
          <w:rFonts w:eastAsia="Calibri" w:cs="Times New Roman"/>
          <w:i/>
          <w:iCs/>
          <w:szCs w:val="24"/>
        </w:rPr>
        <w:t>see</w:t>
      </w:r>
      <w:r w:rsidRPr="005375C4">
        <w:rPr>
          <w:rFonts w:eastAsia="Calibri" w:cs="Times New Roman"/>
          <w:szCs w:val="24"/>
        </w:rPr>
        <w:t xml:space="preserve">, </w:t>
      </w:r>
      <w:r w:rsidRPr="005375C4">
        <w:rPr>
          <w:rFonts w:eastAsia="Calibri" w:cs="Times New Roman"/>
          <w:i/>
          <w:iCs/>
          <w:szCs w:val="24"/>
        </w:rPr>
        <w:t>e.g.</w:t>
      </w:r>
      <w:r w:rsidRPr="005375C4">
        <w:rPr>
          <w:rFonts w:eastAsia="Calibri" w:cs="Times New Roman"/>
          <w:szCs w:val="24"/>
        </w:rPr>
        <w:t xml:space="preserve">, Issascharoff &amp; Pildes, </w:t>
      </w:r>
      <w:r w:rsidRPr="005375C4">
        <w:rPr>
          <w:rFonts w:eastAsia="Calibri" w:cs="Times New Roman"/>
          <w:i/>
          <w:iCs/>
          <w:szCs w:val="24"/>
        </w:rPr>
        <w:t>supra</w:t>
      </w:r>
      <w:r w:rsidRPr="005375C4">
        <w:rPr>
          <w:rFonts w:eastAsia="Calibri" w:cs="Times New Roman"/>
          <w:szCs w:val="24"/>
        </w:rPr>
        <w:t xml:space="preserve">, at 682-83, </w:t>
      </w:r>
      <w:r w:rsidR="00DE20A2">
        <w:rPr>
          <w:rFonts w:eastAsia="Calibri" w:cs="Times New Roman"/>
          <w:szCs w:val="24"/>
        </w:rPr>
        <w:t xml:space="preserve">but also, </w:t>
      </w:r>
      <w:r w:rsidRPr="005375C4">
        <w:rPr>
          <w:rFonts w:eastAsia="Calibri" w:cs="Times New Roman"/>
          <w:szCs w:val="24"/>
        </w:rPr>
        <w:t>common</w:t>
      </w:r>
      <w:r w:rsidR="00DE20A2">
        <w:rPr>
          <w:rFonts w:eastAsia="Calibri" w:cs="Times New Roman"/>
          <w:szCs w:val="24"/>
        </w:rPr>
        <w:t xml:space="preserve"> </w:t>
      </w:r>
      <w:r w:rsidRPr="005375C4">
        <w:rPr>
          <w:rFonts w:eastAsia="Calibri" w:cs="Times New Roman"/>
          <w:szCs w:val="24"/>
        </w:rPr>
        <w:t xml:space="preserve">sense and logic </w:t>
      </w:r>
      <w:r w:rsidR="00DE20A2">
        <w:rPr>
          <w:rFonts w:eastAsia="Calibri" w:cs="Times New Roman"/>
          <w:szCs w:val="24"/>
        </w:rPr>
        <w:t xml:space="preserve">refute </w:t>
      </w:r>
      <w:r w:rsidRPr="005375C4">
        <w:rPr>
          <w:rFonts w:eastAsia="Calibri" w:cs="Times New Roman"/>
          <w:szCs w:val="24"/>
        </w:rPr>
        <w:t xml:space="preserve">it outright.  </w:t>
      </w:r>
      <w:r w:rsidR="00DE20A2">
        <w:rPr>
          <w:rFonts w:eastAsia="Calibri" w:cs="Times New Roman"/>
          <w:szCs w:val="24"/>
        </w:rPr>
        <w:t xml:space="preserve">Rather than </w:t>
      </w:r>
      <w:r w:rsidRPr="005375C4">
        <w:rPr>
          <w:rFonts w:eastAsia="Calibri" w:cs="Times New Roman"/>
          <w:szCs w:val="24"/>
        </w:rPr>
        <w:t>seek</w:t>
      </w:r>
      <w:r w:rsidR="00DE20A2">
        <w:rPr>
          <w:rFonts w:eastAsia="Calibri" w:cs="Times New Roman"/>
          <w:szCs w:val="24"/>
        </w:rPr>
        <w:t>ing</w:t>
      </w:r>
      <w:r w:rsidRPr="005375C4">
        <w:rPr>
          <w:rFonts w:eastAsia="Calibri" w:cs="Times New Roman"/>
          <w:szCs w:val="24"/>
        </w:rPr>
        <w:t xml:space="preserve"> Aristotelian justice, </w:t>
      </w:r>
      <w:r w:rsidR="00DE20A2">
        <w:rPr>
          <w:rFonts w:eastAsia="Calibri" w:cs="Times New Roman"/>
          <w:szCs w:val="24"/>
        </w:rPr>
        <w:t>i</w:t>
      </w:r>
      <w:r w:rsidR="00DE20A2" w:rsidRPr="005375C4">
        <w:rPr>
          <w:rFonts w:eastAsia="Calibri" w:cs="Times New Roman"/>
          <w:szCs w:val="24"/>
        </w:rPr>
        <w:t>t is far more likely that</w:t>
      </w:r>
      <w:r w:rsidR="00DE20A2" w:rsidRPr="005375C4">
        <w:rPr>
          <w:rFonts w:eastAsia="Calibri" w:cs="Times New Roman"/>
          <w:szCs w:val="24"/>
        </w:rPr>
        <w:t xml:space="preserve"> </w:t>
      </w:r>
      <w:r w:rsidRPr="005375C4">
        <w:rPr>
          <w:rFonts w:eastAsia="Calibri" w:cs="Times New Roman"/>
          <w:szCs w:val="24"/>
        </w:rPr>
        <w:t xml:space="preserve">the Republicans and Democrats joined to legislate a categorical ban on </w:t>
      </w:r>
      <w:r w:rsidR="00DE20A2">
        <w:rPr>
          <w:rFonts w:eastAsia="Calibri" w:cs="Times New Roman"/>
          <w:szCs w:val="24"/>
        </w:rPr>
        <w:t xml:space="preserve">their competitors </w:t>
      </w:r>
      <w:r w:rsidRPr="005375C4">
        <w:rPr>
          <w:rFonts w:eastAsia="Calibri" w:cs="Times New Roman"/>
          <w:szCs w:val="24"/>
        </w:rPr>
        <w:t xml:space="preserve">from </w:t>
      </w:r>
      <w:r w:rsidR="00DE20A2">
        <w:rPr>
          <w:rFonts w:eastAsia="Calibri" w:cs="Times New Roman"/>
          <w:szCs w:val="24"/>
        </w:rPr>
        <w:t xml:space="preserve">serving in </w:t>
      </w:r>
      <w:r w:rsidRPr="005375C4">
        <w:rPr>
          <w:rFonts w:eastAsia="Calibri" w:cs="Times New Roman"/>
          <w:szCs w:val="24"/>
        </w:rPr>
        <w:t xml:space="preserve">appointed office for the same reason they </w:t>
      </w:r>
      <w:r w:rsidR="00DE20A2">
        <w:rPr>
          <w:rFonts w:eastAsia="Calibri" w:cs="Times New Roman"/>
          <w:szCs w:val="24"/>
        </w:rPr>
        <w:t xml:space="preserve">seek to </w:t>
      </w:r>
      <w:r w:rsidRPr="005375C4">
        <w:rPr>
          <w:rFonts w:eastAsia="Calibri" w:cs="Times New Roman"/>
          <w:szCs w:val="24"/>
        </w:rPr>
        <w:t xml:space="preserve">exclude outsiders from elected office </w:t>
      </w:r>
      <w:r w:rsidR="00DE20A2">
        <w:rPr>
          <w:rFonts w:eastAsia="Calibri" w:cs="Times New Roman"/>
          <w:szCs w:val="24"/>
        </w:rPr>
        <w:t>–</w:t>
      </w:r>
      <w:r w:rsidRPr="005375C4">
        <w:rPr>
          <w:rFonts w:eastAsia="Calibri" w:cs="Times New Roman"/>
          <w:szCs w:val="24"/>
        </w:rPr>
        <w:t xml:space="preserve"> to</w:t>
      </w:r>
      <w:r w:rsidR="00DE20A2">
        <w:rPr>
          <w:rFonts w:eastAsia="Calibri" w:cs="Times New Roman"/>
          <w:szCs w:val="24"/>
        </w:rPr>
        <w:t xml:space="preserve"> </w:t>
      </w:r>
      <w:r w:rsidRPr="005375C4">
        <w:rPr>
          <w:rFonts w:eastAsia="Calibri" w:cs="Times New Roman"/>
          <w:szCs w:val="24"/>
        </w:rPr>
        <w:t xml:space="preserve">maintain power for themselves.  </w:t>
      </w:r>
      <w:r w:rsidRPr="005375C4">
        <w:rPr>
          <w:rFonts w:eastAsia="Calibri" w:cs="Times New Roman"/>
          <w:i/>
          <w:iCs/>
          <w:szCs w:val="24"/>
          <w:shd w:val="clear" w:color="auto" w:fill="FFFFFF"/>
        </w:rPr>
        <w:t>See</w:t>
      </w:r>
      <w:r w:rsidRPr="005375C4">
        <w:rPr>
          <w:rFonts w:eastAsia="Calibri" w:cs="Times New Roman"/>
          <w:szCs w:val="24"/>
          <w:shd w:val="clear" w:color="auto" w:fill="FFFFFF"/>
        </w:rPr>
        <w:t xml:space="preserve"> Gregory P. Magarian, </w:t>
      </w:r>
      <w:hyperlink r:id="rId11" w:anchor="co_pp_sp_2984_1961" w:history="1">
        <w:r w:rsidRPr="005375C4">
          <w:rPr>
            <w:rFonts w:eastAsia="Calibri" w:cs="Times New Roman"/>
            <w:i/>
            <w:iCs/>
            <w:szCs w:val="24"/>
            <w:bdr w:val="none" w:sz="0" w:space="0" w:color="auto" w:frame="1"/>
            <w:shd w:val="clear" w:color="auto" w:fill="FFFFFF"/>
          </w:rPr>
          <w:t>Regulating Political Parties Under a “Public Rights” First Amendment</w:t>
        </w:r>
        <w:r w:rsidRPr="005375C4">
          <w:rPr>
            <w:rFonts w:eastAsia="Calibri" w:cs="Times New Roman"/>
            <w:szCs w:val="24"/>
            <w:bdr w:val="none" w:sz="0" w:space="0" w:color="auto" w:frame="1"/>
            <w:shd w:val="clear" w:color="auto" w:fill="FFFFFF"/>
          </w:rPr>
          <w:t>, 44 Wm. &amp; Mary L. Rev. 1939, 1993 (2003)</w:t>
        </w:r>
      </w:hyperlink>
      <w:r w:rsidRPr="005375C4">
        <w:rPr>
          <w:rFonts w:eastAsia="Calibri" w:cs="Times New Roman"/>
          <w:szCs w:val="24"/>
        </w:rPr>
        <w:t xml:space="preserve"> (</w:t>
      </w:r>
      <w:r w:rsidR="00C46301">
        <w:rPr>
          <w:rFonts w:eastAsia="Calibri" w:cs="Times New Roman"/>
          <w:szCs w:val="24"/>
        </w:rPr>
        <w:t>“</w:t>
      </w:r>
      <w:r w:rsidR="00C46301">
        <w:rPr>
          <w:rFonts w:eastAsia="Calibri" w:cs="Times New Roman"/>
          <w:szCs w:val="24"/>
          <w:shd w:val="clear" w:color="auto" w:fill="FFFFFF"/>
        </w:rPr>
        <w:t>‘</w:t>
      </w:r>
      <w:r w:rsidRPr="005375C4">
        <w:rPr>
          <w:rFonts w:eastAsia="Calibri" w:cs="Times New Roman"/>
          <w:szCs w:val="24"/>
          <w:shd w:val="clear" w:color="auto" w:fill="FFFFFF"/>
        </w:rPr>
        <w:t>partisan lockups</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are easiest to identify when a </w:t>
      </w:r>
      <w:r w:rsidRPr="005375C4">
        <w:rPr>
          <w:rFonts w:eastAsia="Calibri" w:cs="Times New Roman"/>
          <w:szCs w:val="24"/>
          <w:shd w:val="clear" w:color="auto" w:fill="FFFFFF"/>
        </w:rPr>
        <w:lastRenderedPageBreak/>
        <w:t>single political party controls a jurisdiction, but they may also result from the two major parties</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collective efforts to bar minor parties from the political stage</w:t>
      </w:r>
      <w:r w:rsidR="00C46301">
        <w:rPr>
          <w:rFonts w:eastAsia="Calibri" w:cs="Times New Roman"/>
          <w:szCs w:val="24"/>
          <w:shd w:val="clear" w:color="auto" w:fill="FFFFFF"/>
        </w:rPr>
        <w:t>”</w:t>
      </w:r>
      <w:r w:rsidRPr="005375C4">
        <w:rPr>
          <w:rFonts w:eastAsia="Calibri" w:cs="Times New Roman"/>
          <w:szCs w:val="24"/>
          <w:shd w:val="clear" w:color="auto" w:fill="FFFFFF"/>
        </w:rPr>
        <w:t>) (footnotes omitted). </w:t>
      </w:r>
    </w:p>
    <w:p w14:paraId="3B3754D5" w14:textId="77777777" w:rsidR="00C46301" w:rsidRDefault="005375C4" w:rsidP="00C46301">
      <w:pPr>
        <w:spacing w:line="480" w:lineRule="auto"/>
        <w:jc w:val="both"/>
        <w:rPr>
          <w:rFonts w:eastAsia="Times New Roman" w:cs="Times New Roman"/>
          <w:szCs w:val="24"/>
        </w:rPr>
      </w:pPr>
      <w:r w:rsidRPr="005375C4">
        <w:rPr>
          <w:rFonts w:eastAsia="Calibri" w:cs="Times New Roman"/>
          <w:szCs w:val="24"/>
        </w:rPr>
        <w:tab/>
      </w:r>
      <w:r w:rsidR="00C46301">
        <w:rPr>
          <w:rFonts w:eastAsia="Calibri" w:cs="Times New Roman"/>
          <w:szCs w:val="24"/>
        </w:rPr>
        <w:t xml:space="preserve">The position the Republican National Committee advances in this case is not new. </w:t>
      </w:r>
      <w:r w:rsidRPr="005375C4">
        <w:rPr>
          <w:rFonts w:eastAsia="Calibri" w:cs="Times New Roman"/>
          <w:szCs w:val="24"/>
        </w:rPr>
        <w:t xml:space="preserve">For some time, </w:t>
      </w:r>
      <w:r w:rsidR="00C46301">
        <w:rPr>
          <w:rFonts w:eastAsia="Calibri" w:cs="Times New Roman"/>
          <w:szCs w:val="24"/>
        </w:rPr>
        <w:t>“</w:t>
      </w:r>
      <w:r w:rsidRPr="005375C4">
        <w:rPr>
          <w:rFonts w:eastAsia="Calibri" w:cs="Times New Roman"/>
          <w:szCs w:val="24"/>
        </w:rPr>
        <w:t>r</w:t>
      </w:r>
      <w:r w:rsidRPr="005375C4">
        <w:rPr>
          <w:rFonts w:eastAsia="Calibri" w:cs="Times New Roman"/>
          <w:szCs w:val="24"/>
          <w:shd w:val="clear" w:color="auto" w:fill="FFFFFF"/>
        </w:rPr>
        <w:t>esponsible party government scholars [] have argued that the two-party system promotes political stability, combats factionalism, and provides a valuable voting cue.</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Richard L. Hasen, </w:t>
      </w:r>
      <w:r w:rsidRPr="005375C4">
        <w:rPr>
          <w:rFonts w:eastAsia="Calibri" w:cs="Times New Roman"/>
          <w:i/>
          <w:iCs/>
          <w:szCs w:val="24"/>
          <w:shd w:val="clear" w:color="auto" w:fill="FFFFFF"/>
        </w:rPr>
        <w:t>Entrenching the Duopoly: Why the Supreme Court Should Not Allow the States to Protect the Democrats and Republicans From Political Competition</w:t>
      </w:r>
      <w:r w:rsidRPr="005375C4">
        <w:rPr>
          <w:rFonts w:eastAsia="Calibri" w:cs="Times New Roman"/>
          <w:szCs w:val="24"/>
          <w:shd w:val="clear" w:color="auto" w:fill="FFFFFF"/>
        </w:rPr>
        <w:t xml:space="preserve">, 1997 S. Ct. Rev. 331, 342. </w:t>
      </w:r>
      <w:r w:rsidR="00C46301">
        <w:rPr>
          <w:rFonts w:eastAsia="Calibri" w:cs="Times New Roman"/>
          <w:szCs w:val="24"/>
          <w:shd w:val="clear" w:color="auto" w:fill="FFFFFF"/>
        </w:rPr>
        <w:t>“</w:t>
      </w:r>
      <w:r w:rsidRPr="005375C4">
        <w:rPr>
          <w:rFonts w:eastAsia="Calibri" w:cs="Times New Roman"/>
          <w:szCs w:val="24"/>
          <w:shd w:val="clear" w:color="auto" w:fill="FFFFFF"/>
        </w:rPr>
        <w:t>[T]hese scholars,</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however, </w:t>
      </w:r>
      <w:r w:rsidR="00C46301">
        <w:rPr>
          <w:rFonts w:eastAsia="Calibri" w:cs="Times New Roman"/>
          <w:szCs w:val="24"/>
          <w:shd w:val="clear" w:color="auto" w:fill="FFFFFF"/>
        </w:rPr>
        <w:t>“</w:t>
      </w:r>
      <w:r w:rsidRPr="005375C4">
        <w:rPr>
          <w:rFonts w:eastAsia="Calibri" w:cs="Times New Roman"/>
          <w:szCs w:val="24"/>
          <w:shd w:val="clear" w:color="auto" w:fill="FFFFFF"/>
        </w:rPr>
        <w:t>have not proven that the two-party system, especially the modern system since the advent of capital-intensive, candidate-centered campaigns, actually has these effects.</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00C46301">
        <w:rPr>
          <w:rFonts w:eastAsia="Calibri" w:cs="Times New Roman"/>
          <w:szCs w:val="24"/>
          <w:shd w:val="clear" w:color="auto" w:fill="FFFFFF"/>
        </w:rPr>
        <w:t xml:space="preserve"> Professor Hasen thus offers “</w:t>
      </w:r>
      <w:r w:rsidRPr="005375C4">
        <w:rPr>
          <w:rFonts w:eastAsia="Times New Roman" w:cs="Times New Roman"/>
          <w:szCs w:val="24"/>
        </w:rPr>
        <w:t>at least three good reasons the Court should be skeptical of speculative empirical claims made in support of legislation favoring the two-party system</w:t>
      </w:r>
      <w:r w:rsidR="00C46301">
        <w:rPr>
          <w:rFonts w:eastAsia="Times New Roman" w:cs="Times New Roman"/>
          <w:szCs w:val="24"/>
        </w:rPr>
        <w:t>:</w:t>
      </w:r>
      <w:r w:rsidRPr="005375C4">
        <w:rPr>
          <w:rFonts w:eastAsia="Times New Roman" w:cs="Times New Roman"/>
          <w:szCs w:val="24"/>
        </w:rPr>
        <w:t xml:space="preserve"> </w:t>
      </w:r>
    </w:p>
    <w:p w14:paraId="168DBF19" w14:textId="77777777" w:rsidR="00C46301" w:rsidRDefault="005375C4" w:rsidP="00C46301">
      <w:pPr>
        <w:ind w:left="720"/>
        <w:jc w:val="both"/>
        <w:rPr>
          <w:rFonts w:eastAsia="Calibri" w:cs="Times New Roman"/>
          <w:szCs w:val="24"/>
        </w:rPr>
      </w:pPr>
      <w:r w:rsidRPr="005375C4">
        <w:rPr>
          <w:rFonts w:eastAsia="Times New Roman" w:cs="Times New Roman"/>
          <w:szCs w:val="24"/>
        </w:rPr>
        <w:t>First, there is a severe agency problem here: virtually all of the legislators who will make these decisions are members of one of the two major political parties, and the choice may be less the product of reason than of self-interest.</w:t>
      </w:r>
      <w:r w:rsidRPr="005375C4">
        <w:rPr>
          <w:rFonts w:eastAsia="Calibri" w:cs="Times New Roman"/>
          <w:szCs w:val="24"/>
        </w:rPr>
        <w:t xml:space="preserve"> </w:t>
      </w:r>
      <w:r w:rsidR="00C46301">
        <w:rPr>
          <w:rFonts w:eastAsia="Calibri" w:cs="Times New Roman"/>
          <w:szCs w:val="24"/>
        </w:rPr>
        <w:t>…</w:t>
      </w:r>
      <w:r w:rsidRPr="005375C4">
        <w:rPr>
          <w:rFonts w:eastAsia="Calibri" w:cs="Times New Roman"/>
          <w:szCs w:val="24"/>
        </w:rPr>
        <w:t xml:space="preserve"> </w:t>
      </w:r>
      <w:r w:rsidRPr="005375C4">
        <w:rPr>
          <w:rFonts w:eastAsia="Times New Roman" w:cs="Times New Roman"/>
          <w:szCs w:val="24"/>
        </w:rPr>
        <w:t>Second, there are informational losses associated with restrictions on third parties. … Favoring the two-party system ultimately provides voters with less information about the choices available to them in terms of candidates, parties, and issues.</w:t>
      </w:r>
      <w:r w:rsidR="00C46301">
        <w:rPr>
          <w:rFonts w:eastAsia="Times New Roman" w:cs="Times New Roman"/>
          <w:szCs w:val="24"/>
        </w:rPr>
        <w:t xml:space="preserve"> … </w:t>
      </w:r>
      <w:r w:rsidRPr="005375C4">
        <w:rPr>
          <w:rFonts w:eastAsia="Calibri" w:cs="Times New Roman"/>
          <w:szCs w:val="24"/>
        </w:rPr>
        <w:t>Finally, the lack of a competitive political market may have other costs as well. … A strong duopoly could make it less likely that the Democrats and Republicans will feel pressure to become the encompassing parties that responsible party government theorists hope they will become</w:t>
      </w:r>
      <w:r w:rsidR="00C46301">
        <w:rPr>
          <w:rFonts w:eastAsia="Calibri" w:cs="Times New Roman"/>
          <w:szCs w:val="24"/>
        </w:rPr>
        <w:t>.</w:t>
      </w:r>
    </w:p>
    <w:p w14:paraId="2A8F7368" w14:textId="77777777" w:rsidR="00C46301" w:rsidRDefault="00C46301" w:rsidP="00C46301">
      <w:pPr>
        <w:jc w:val="both"/>
        <w:rPr>
          <w:rFonts w:eastAsia="Calibri" w:cs="Times New Roman"/>
          <w:szCs w:val="24"/>
        </w:rPr>
      </w:pPr>
    </w:p>
    <w:p w14:paraId="609486B3" w14:textId="77777777" w:rsidR="00DB22D9" w:rsidRDefault="005375C4" w:rsidP="00DB22D9">
      <w:pPr>
        <w:spacing w:line="480" w:lineRule="auto"/>
        <w:jc w:val="both"/>
        <w:rPr>
          <w:rFonts w:eastAsia="Calibri" w:cs="Times New Roman"/>
          <w:szCs w:val="24"/>
          <w:shd w:val="clear" w:color="auto" w:fill="FFFFFF"/>
        </w:rPr>
      </w:pPr>
      <w:r w:rsidRPr="005375C4">
        <w:rPr>
          <w:rFonts w:eastAsia="Calibri" w:cs="Times New Roman"/>
          <w:i/>
          <w:iCs/>
          <w:szCs w:val="24"/>
        </w:rPr>
        <w:t>Id.</w:t>
      </w:r>
      <w:r w:rsidRPr="005375C4">
        <w:rPr>
          <w:rFonts w:eastAsia="Calibri" w:cs="Times New Roman"/>
          <w:szCs w:val="24"/>
        </w:rPr>
        <w:t xml:space="preserve"> at 34</w:t>
      </w:r>
      <w:r w:rsidR="00C46301">
        <w:rPr>
          <w:rFonts w:eastAsia="Calibri" w:cs="Times New Roman"/>
          <w:szCs w:val="24"/>
        </w:rPr>
        <w:t>3-4</w:t>
      </w:r>
      <w:r w:rsidRPr="005375C4">
        <w:rPr>
          <w:rFonts w:eastAsia="Calibri" w:cs="Times New Roman"/>
          <w:szCs w:val="24"/>
        </w:rPr>
        <w:t>4</w:t>
      </w:r>
      <w:r w:rsidR="00C46301">
        <w:rPr>
          <w:rFonts w:eastAsia="Calibri" w:cs="Times New Roman"/>
          <w:szCs w:val="24"/>
        </w:rPr>
        <w:t>, 358, 360.</w:t>
      </w:r>
      <w:r w:rsidRPr="005375C4">
        <w:rPr>
          <w:rFonts w:eastAsia="Calibri" w:cs="Times New Roman"/>
          <w:szCs w:val="24"/>
        </w:rPr>
        <w:t xml:space="preserve"> For these reasons, </w:t>
      </w:r>
      <w:r w:rsidR="00C46301">
        <w:rPr>
          <w:rFonts w:eastAsia="Calibri" w:cs="Times New Roman"/>
          <w:szCs w:val="24"/>
        </w:rPr>
        <w:t>“</w:t>
      </w:r>
      <w:r w:rsidRPr="005375C4">
        <w:rPr>
          <w:rFonts w:eastAsia="Calibri" w:cs="Times New Roman"/>
          <w:szCs w:val="24"/>
          <w:shd w:val="clear" w:color="auto" w:fill="FFFFFF"/>
        </w:rPr>
        <w:t>the unproven conjecture that the [two-party] system maintains political stability</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cannot be sustained. </w:t>
      </w:r>
      <w:r w:rsidRPr="005375C4">
        <w:rPr>
          <w:rFonts w:eastAsia="Calibri" w:cs="Times New Roman"/>
          <w:i/>
          <w:iCs/>
          <w:szCs w:val="24"/>
          <w:shd w:val="clear" w:color="auto" w:fill="FFFFFF"/>
        </w:rPr>
        <w:t>Id.</w:t>
      </w:r>
      <w:r w:rsidRPr="005375C4">
        <w:rPr>
          <w:rFonts w:eastAsia="Calibri" w:cs="Times New Roman"/>
          <w:szCs w:val="24"/>
          <w:shd w:val="clear" w:color="auto" w:fill="FFFFFF"/>
        </w:rPr>
        <w:t xml:space="preserve"> at 358. Instead, </w:t>
      </w:r>
      <w:r w:rsidR="00C46301">
        <w:rPr>
          <w:rFonts w:eastAsia="Calibri" w:cs="Times New Roman"/>
          <w:szCs w:val="24"/>
          <w:shd w:val="clear" w:color="auto" w:fill="FFFFFF"/>
        </w:rPr>
        <w:t>“</w:t>
      </w:r>
      <w:r w:rsidRPr="005375C4">
        <w:rPr>
          <w:rFonts w:eastAsia="Calibri" w:cs="Times New Roman"/>
          <w:szCs w:val="24"/>
          <w:shd w:val="clear" w:color="auto" w:fill="FFFFFF"/>
        </w:rPr>
        <w:t>circumstantial evidence and underlying theory point in the opposite direction. In short, neither political stability nor antifactionalism justifies the Supreme Court</w:t>
      </w:r>
      <w:r w:rsidR="00C46301">
        <w:rPr>
          <w:rFonts w:eastAsia="Calibri" w:cs="Times New Roman"/>
          <w:szCs w:val="24"/>
          <w:shd w:val="clear" w:color="auto" w:fill="FFFFFF"/>
        </w:rPr>
        <w:t>’</w:t>
      </w:r>
      <w:r w:rsidRPr="005375C4">
        <w:rPr>
          <w:rFonts w:eastAsia="Calibri" w:cs="Times New Roman"/>
          <w:szCs w:val="24"/>
          <w:shd w:val="clear" w:color="auto" w:fill="FFFFFF"/>
        </w:rPr>
        <w:t>s decision to favor the two-party system.</w:t>
      </w:r>
      <w:r w:rsidR="00C46301">
        <w:rPr>
          <w:rFonts w:eastAsia="Calibri" w:cs="Times New Roman"/>
          <w:szCs w:val="24"/>
          <w:shd w:val="clear" w:color="auto" w:fill="FFFFFF"/>
        </w:rPr>
        <w:t>”</w:t>
      </w:r>
      <w:r w:rsidRPr="005375C4">
        <w:rPr>
          <w:rFonts w:eastAsia="Calibri" w:cs="Times New Roman"/>
          <w:szCs w:val="24"/>
          <w:shd w:val="clear" w:color="auto" w:fill="FFFFFF"/>
        </w:rPr>
        <w:t xml:space="preserve"> </w:t>
      </w:r>
      <w:r w:rsidRPr="005375C4">
        <w:rPr>
          <w:rFonts w:eastAsia="Calibri" w:cs="Times New Roman"/>
          <w:i/>
          <w:iCs/>
          <w:szCs w:val="24"/>
          <w:shd w:val="clear" w:color="auto" w:fill="FFFFFF"/>
        </w:rPr>
        <w:t>Id.</w:t>
      </w:r>
      <w:r w:rsidRPr="005375C4">
        <w:rPr>
          <w:rFonts w:eastAsia="Calibri" w:cs="Times New Roman"/>
          <w:szCs w:val="24"/>
          <w:shd w:val="clear" w:color="auto" w:fill="FFFFFF"/>
        </w:rPr>
        <w:t xml:space="preserve"> at 360</w:t>
      </w:r>
      <w:r w:rsidR="00C46301">
        <w:rPr>
          <w:rFonts w:eastAsia="Calibri" w:cs="Times New Roman"/>
          <w:szCs w:val="24"/>
          <w:shd w:val="clear" w:color="auto" w:fill="FFFFFF"/>
        </w:rPr>
        <w:t xml:space="preserve"> (</w:t>
      </w:r>
      <w:r w:rsidR="00DB22D9">
        <w:rPr>
          <w:rFonts w:eastAsia="Calibri" w:cs="Times New Roman"/>
          <w:szCs w:val="24"/>
          <w:shd w:val="clear" w:color="auto" w:fill="FFFFFF"/>
        </w:rPr>
        <w:t>discuss</w:t>
      </w:r>
      <w:r w:rsidR="00C46301">
        <w:rPr>
          <w:rFonts w:eastAsia="Calibri" w:cs="Times New Roman"/>
          <w:szCs w:val="24"/>
          <w:shd w:val="clear" w:color="auto" w:fill="FFFFFF"/>
        </w:rPr>
        <w:t xml:space="preserve">ing </w:t>
      </w:r>
      <w:r w:rsidR="00DB22D9">
        <w:rPr>
          <w:rFonts w:eastAsia="Calibri" w:cs="Times New Roman"/>
          <w:i/>
          <w:iCs/>
          <w:szCs w:val="24"/>
          <w:shd w:val="clear" w:color="auto" w:fill="FFFFFF"/>
        </w:rPr>
        <w:t>Timmons v. Twin Cities Area New Party</w:t>
      </w:r>
      <w:r w:rsidR="00DB22D9">
        <w:rPr>
          <w:rFonts w:eastAsia="Calibri" w:cs="Times New Roman"/>
          <w:szCs w:val="24"/>
          <w:shd w:val="clear" w:color="auto" w:fill="FFFFFF"/>
        </w:rPr>
        <w:t>,</w:t>
      </w:r>
      <w:r w:rsidR="00DB22D9" w:rsidRPr="00DB22D9">
        <w:t xml:space="preserve"> </w:t>
      </w:r>
      <w:r w:rsidR="00DB22D9" w:rsidRPr="00DB22D9">
        <w:rPr>
          <w:rFonts w:eastAsia="Calibri" w:cs="Times New Roman"/>
          <w:szCs w:val="24"/>
          <w:shd w:val="clear" w:color="auto" w:fill="FFFFFF"/>
        </w:rPr>
        <w:t>520 US 351</w:t>
      </w:r>
      <w:r w:rsidR="00DB22D9">
        <w:rPr>
          <w:rFonts w:eastAsia="Calibri" w:cs="Times New Roman"/>
          <w:szCs w:val="24"/>
          <w:shd w:val="clear" w:color="auto" w:fill="FFFFFF"/>
        </w:rPr>
        <w:t>, 367 (1997) (concluding that “</w:t>
      </w:r>
      <w:r w:rsidR="00DB22D9">
        <w:t>the States</w:t>
      </w:r>
      <w:r w:rsidR="00DB22D9">
        <w:t>’</w:t>
      </w:r>
      <w:r w:rsidR="00DB22D9">
        <w:t xml:space="preserve"> interest permits them to enact reasonable election regulations that may, in practice, favor the traditional two</w:t>
      </w:r>
      <w:r w:rsidR="00DB22D9">
        <w:t xml:space="preserve"> </w:t>
      </w:r>
      <w:r w:rsidR="00DB22D9">
        <w:t>party system</w:t>
      </w:r>
      <w:r w:rsidR="00DB22D9">
        <w:t>”).</w:t>
      </w:r>
      <w:r w:rsidRPr="005375C4">
        <w:rPr>
          <w:rFonts w:eastAsia="Calibri" w:cs="Times New Roman"/>
          <w:szCs w:val="24"/>
          <w:shd w:val="clear" w:color="auto" w:fill="FFFFFF"/>
        </w:rPr>
        <w:t xml:space="preserve"> </w:t>
      </w:r>
    </w:p>
    <w:p w14:paraId="4FCF2E9D" w14:textId="77777777" w:rsidR="0041183E" w:rsidRDefault="005375C4" w:rsidP="0041183E">
      <w:pPr>
        <w:spacing w:line="480" w:lineRule="auto"/>
        <w:ind w:firstLine="720"/>
        <w:jc w:val="both"/>
        <w:rPr>
          <w:rFonts w:eastAsia="Calibri" w:cs="Times New Roman"/>
          <w:szCs w:val="24"/>
          <w:shd w:val="clear" w:color="auto" w:fill="FFFFFF"/>
        </w:rPr>
      </w:pPr>
      <w:r w:rsidRPr="005375C4">
        <w:rPr>
          <w:rFonts w:eastAsia="Calibri" w:cs="Times New Roman"/>
          <w:szCs w:val="24"/>
          <w:shd w:val="clear" w:color="auto" w:fill="FFFFFF"/>
        </w:rPr>
        <w:lastRenderedPageBreak/>
        <w:t xml:space="preserve">Many scholars have echoed </w:t>
      </w:r>
      <w:r w:rsidR="00DB22D9">
        <w:rPr>
          <w:rFonts w:eastAsia="Calibri" w:cs="Times New Roman"/>
          <w:szCs w:val="24"/>
          <w:shd w:val="clear" w:color="auto" w:fill="FFFFFF"/>
        </w:rPr>
        <w:t>t</w:t>
      </w:r>
      <w:r w:rsidRPr="005375C4">
        <w:rPr>
          <w:rFonts w:eastAsia="Calibri" w:cs="Times New Roman"/>
          <w:szCs w:val="24"/>
          <w:shd w:val="clear" w:color="auto" w:fill="FFFFFF"/>
        </w:rPr>
        <w:t xml:space="preserve">his view. Professor Magarian, for example, has observed that </w:t>
      </w:r>
      <w:r w:rsidR="00DB22D9">
        <w:rPr>
          <w:rFonts w:eastAsia="Calibri" w:cs="Times New Roman"/>
          <w:szCs w:val="24"/>
          <w:shd w:val="clear" w:color="auto" w:fill="FFFFFF"/>
        </w:rPr>
        <w:t>“</w:t>
      </w:r>
      <w:r w:rsidRPr="005375C4">
        <w:rPr>
          <w:rFonts w:eastAsia="Calibri" w:cs="Times New Roman"/>
          <w:szCs w:val="24"/>
          <w:shd w:val="clear" w:color="auto" w:fill="FFFFFF"/>
        </w:rPr>
        <w:t>[t]</w:t>
      </w:r>
      <w:r w:rsidRPr="005375C4">
        <w:rPr>
          <w:rFonts w:eastAsia="Calibri" w:cs="Times New Roman"/>
          <w:szCs w:val="24"/>
        </w:rPr>
        <w:t>he theory of responsible party government reflects a pessimistic and elitist view of politics.</w:t>
      </w:r>
      <w:r w:rsidR="00DB22D9">
        <w:rPr>
          <w:rFonts w:eastAsia="Calibri" w:cs="Times New Roman"/>
          <w:szCs w:val="24"/>
        </w:rPr>
        <w:t>”</w:t>
      </w:r>
      <w:r w:rsidRPr="005375C4">
        <w:rPr>
          <w:rFonts w:eastAsia="Calibri" w:cs="Times New Roman"/>
          <w:szCs w:val="24"/>
        </w:rPr>
        <w:t xml:space="preserve"> </w:t>
      </w:r>
      <w:r w:rsidRPr="005375C4">
        <w:rPr>
          <w:rFonts w:eastAsia="Calibri" w:cs="Times New Roman"/>
          <w:szCs w:val="24"/>
          <w:shd w:val="clear" w:color="auto" w:fill="FFFFFF"/>
        </w:rPr>
        <w:t xml:space="preserve">Magarian, </w:t>
      </w:r>
      <w:r w:rsidRPr="005375C4">
        <w:rPr>
          <w:rFonts w:eastAsia="Calibri" w:cs="Times New Roman"/>
          <w:i/>
          <w:iCs/>
          <w:szCs w:val="24"/>
          <w:shd w:val="clear" w:color="auto" w:fill="FFFFFF"/>
        </w:rPr>
        <w:t>supra</w:t>
      </w:r>
      <w:r w:rsidRPr="005375C4">
        <w:rPr>
          <w:rFonts w:eastAsia="Calibri" w:cs="Times New Roman"/>
          <w:szCs w:val="24"/>
          <w:shd w:val="clear" w:color="auto" w:fill="FFFFFF"/>
        </w:rPr>
        <w:t>, at 1991. </w:t>
      </w:r>
      <w:r w:rsidR="00DB22D9">
        <w:rPr>
          <w:rFonts w:eastAsia="Calibri" w:cs="Times New Roman"/>
          <w:szCs w:val="24"/>
          <w:shd w:val="clear" w:color="auto" w:fill="FFFFFF"/>
        </w:rPr>
        <w:t>“</w:t>
      </w:r>
      <w:r w:rsidRPr="005375C4">
        <w:rPr>
          <w:rFonts w:eastAsia="Calibri" w:cs="Times New Roman"/>
          <w:szCs w:val="24"/>
        </w:rPr>
        <w:t>The trouble with this vision is that its fixation on stability exacts a heavy price in political vitality. Members of the political community, especially but not exclusively those who are uncomfortable in the major party coalitions, have little reason to participate in the political process.</w:t>
      </w:r>
      <w:r w:rsidR="00DB22D9">
        <w:rPr>
          <w:rFonts w:eastAsia="Calibri" w:cs="Times New Roman"/>
          <w:szCs w:val="24"/>
        </w:rPr>
        <w:t>”</w:t>
      </w:r>
      <w:r w:rsidRPr="005375C4">
        <w:rPr>
          <w:rFonts w:eastAsia="Calibri" w:cs="Times New Roman"/>
          <w:szCs w:val="24"/>
        </w:rPr>
        <w:t xml:space="preserve"> </w:t>
      </w:r>
      <w:r w:rsidRPr="005375C4">
        <w:rPr>
          <w:rFonts w:eastAsia="Calibri" w:cs="Times New Roman"/>
          <w:i/>
          <w:iCs/>
          <w:szCs w:val="24"/>
        </w:rPr>
        <w:t>Id.</w:t>
      </w:r>
      <w:r w:rsidRPr="005375C4">
        <w:rPr>
          <w:rFonts w:eastAsia="Calibri" w:cs="Times New Roman"/>
          <w:szCs w:val="24"/>
        </w:rPr>
        <w:t xml:space="preserve"> Consequently, </w:t>
      </w:r>
      <w:r w:rsidR="00DB22D9">
        <w:rPr>
          <w:rFonts w:eastAsia="Calibri" w:cs="Times New Roman"/>
          <w:szCs w:val="24"/>
        </w:rPr>
        <w:t>“</w:t>
      </w:r>
      <w:r w:rsidRPr="005375C4">
        <w:rPr>
          <w:rFonts w:eastAsia="Calibri" w:cs="Times New Roman"/>
          <w:szCs w:val="24"/>
        </w:rPr>
        <w:t>[i]n recent years, the legal literature has revealed an increasing level of concern about the judiciary</w:t>
      </w:r>
      <w:r w:rsidR="00DB22D9">
        <w:rPr>
          <w:rFonts w:eastAsia="Calibri" w:cs="Times New Roman"/>
          <w:szCs w:val="24"/>
        </w:rPr>
        <w:t>’</w:t>
      </w:r>
      <w:r w:rsidRPr="005375C4">
        <w:rPr>
          <w:rFonts w:eastAsia="Calibri" w:cs="Times New Roman"/>
          <w:szCs w:val="24"/>
        </w:rPr>
        <w:t>s embrace of the responsible party government theory. A diverse group of academic commentators has questioned the major party duopoly</w:t>
      </w:r>
      <w:r w:rsidR="00DB22D9">
        <w:rPr>
          <w:rFonts w:eastAsia="Calibri" w:cs="Times New Roman"/>
          <w:szCs w:val="24"/>
        </w:rPr>
        <w:t>’</w:t>
      </w:r>
      <w:r w:rsidRPr="005375C4">
        <w:rPr>
          <w:rFonts w:eastAsia="Calibri" w:cs="Times New Roman"/>
          <w:szCs w:val="24"/>
        </w:rPr>
        <w:t>s representative character and effectiveness and, accordingly, the Court</w:t>
      </w:r>
      <w:r w:rsidR="00DB22D9">
        <w:rPr>
          <w:rFonts w:eastAsia="Calibri" w:cs="Times New Roman"/>
          <w:szCs w:val="24"/>
        </w:rPr>
        <w:t>’</w:t>
      </w:r>
      <w:r w:rsidRPr="005375C4">
        <w:rPr>
          <w:rFonts w:eastAsia="Calibri" w:cs="Times New Roman"/>
          <w:szCs w:val="24"/>
        </w:rPr>
        <w:t>s role in sustaining the duopoly.</w:t>
      </w:r>
      <w:r w:rsidR="00DB22D9">
        <w:rPr>
          <w:rFonts w:eastAsia="Calibri" w:cs="Times New Roman"/>
          <w:szCs w:val="24"/>
        </w:rPr>
        <w:t>”</w:t>
      </w:r>
      <w:r w:rsidRPr="005375C4">
        <w:rPr>
          <w:rFonts w:eastAsia="Calibri" w:cs="Times New Roman"/>
          <w:szCs w:val="24"/>
        </w:rPr>
        <w:t xml:space="preserve"> </w:t>
      </w:r>
      <w:r w:rsidRPr="005375C4">
        <w:rPr>
          <w:rFonts w:eastAsia="Calibri" w:cs="Times New Roman"/>
          <w:i/>
          <w:iCs/>
          <w:szCs w:val="24"/>
        </w:rPr>
        <w:t>Id.</w:t>
      </w:r>
      <w:r w:rsidRPr="005375C4">
        <w:rPr>
          <w:rFonts w:eastAsia="Calibri" w:cs="Times New Roman"/>
          <w:szCs w:val="24"/>
        </w:rPr>
        <w:t xml:space="preserve"> at 1992</w:t>
      </w:r>
      <w:r w:rsidR="00DB22D9">
        <w:rPr>
          <w:rFonts w:eastAsia="Calibri" w:cs="Times New Roman"/>
          <w:szCs w:val="24"/>
        </w:rPr>
        <w:t xml:space="preserve">; </w:t>
      </w:r>
      <w:r w:rsidR="00DB22D9">
        <w:rPr>
          <w:rFonts w:eastAsia="Calibri" w:cs="Times New Roman"/>
          <w:i/>
          <w:iCs/>
          <w:szCs w:val="24"/>
        </w:rPr>
        <w:t>see</w:t>
      </w:r>
      <w:r w:rsidR="00DB22D9">
        <w:rPr>
          <w:rFonts w:eastAsia="Calibri" w:cs="Times New Roman"/>
          <w:szCs w:val="24"/>
        </w:rPr>
        <w:t xml:space="preserve">, </w:t>
      </w:r>
      <w:r w:rsidR="00DB22D9">
        <w:rPr>
          <w:rFonts w:eastAsia="Calibri" w:cs="Times New Roman"/>
          <w:i/>
          <w:iCs/>
          <w:szCs w:val="24"/>
        </w:rPr>
        <w:t>e.g.</w:t>
      </w:r>
      <w:r w:rsidR="00DB22D9">
        <w:rPr>
          <w:rFonts w:eastAsia="Calibri" w:cs="Times New Roman"/>
          <w:szCs w:val="24"/>
        </w:rPr>
        <w:t xml:space="preserve">, </w:t>
      </w:r>
      <w:r w:rsidRPr="005375C4">
        <w:rPr>
          <w:rFonts w:eastAsia="Calibri" w:cs="Times New Roman"/>
          <w:szCs w:val="24"/>
          <w:shd w:val="clear" w:color="auto" w:fill="FFFFFF"/>
        </w:rPr>
        <w:t>Joel Rogers, </w:t>
      </w:r>
      <w:r w:rsidRPr="005375C4">
        <w:rPr>
          <w:rFonts w:eastAsia="Calibri" w:cs="Times New Roman"/>
          <w:i/>
          <w:iCs/>
          <w:szCs w:val="24"/>
          <w:bdr w:val="none" w:sz="0" w:space="0" w:color="auto" w:frame="1"/>
          <w:shd w:val="clear" w:color="auto" w:fill="FFFFFF"/>
        </w:rPr>
        <w:t>Two-Party Systems: Pull the Plug</w:t>
      </w:r>
      <w:r w:rsidRPr="005375C4">
        <w:rPr>
          <w:rFonts w:eastAsia="Calibri" w:cs="Times New Roman"/>
          <w:szCs w:val="24"/>
          <w:bdr w:val="none" w:sz="0" w:space="0" w:color="auto" w:frame="1"/>
          <w:shd w:val="clear" w:color="auto" w:fill="FFFFFF"/>
        </w:rPr>
        <w:t>, 52 Admin. L. Rev. 743 (2000)</w:t>
      </w:r>
      <w:r w:rsidRPr="005375C4">
        <w:rPr>
          <w:rFonts w:eastAsia="Calibri" w:cs="Times New Roman"/>
          <w:szCs w:val="24"/>
          <w:shd w:val="clear" w:color="auto" w:fill="FFFFFF"/>
        </w:rPr>
        <w:t xml:space="preserve"> (arguing that the modern duopoly has not achieved good government and charging the major parties with two central shortcomings: failure to develop and implement coherent programs, and insufficient representation of partisan and ideological minorities); Mark R. Brown</w:t>
      </w:r>
      <w:r w:rsidRPr="005375C4">
        <w:rPr>
          <w:rFonts w:eastAsia="Calibri" w:cs="Times New Roman"/>
          <w:i/>
          <w:iCs/>
          <w:szCs w:val="24"/>
          <w:shd w:val="clear" w:color="auto" w:fill="FFFFFF"/>
        </w:rPr>
        <w:t>, Policing Ballot Access: Lessons From Nader’s 2004 Run for President</w:t>
      </w:r>
      <w:r w:rsidRPr="005375C4">
        <w:rPr>
          <w:rFonts w:eastAsia="Calibri" w:cs="Times New Roman"/>
          <w:szCs w:val="24"/>
          <w:shd w:val="clear" w:color="auto" w:fill="FFFFFF"/>
        </w:rPr>
        <w:t>, 35 Cap. U. L.</w:t>
      </w:r>
      <w:r w:rsidR="0041183E">
        <w:rPr>
          <w:rFonts w:eastAsia="Calibri" w:cs="Times New Roman"/>
          <w:szCs w:val="24"/>
          <w:shd w:val="clear" w:color="auto" w:fill="FFFFFF"/>
        </w:rPr>
        <w:t xml:space="preserve"> </w:t>
      </w:r>
      <w:r w:rsidRPr="005375C4">
        <w:rPr>
          <w:rFonts w:eastAsia="Calibri" w:cs="Times New Roman"/>
          <w:szCs w:val="24"/>
          <w:shd w:val="clear" w:color="auto" w:fill="FFFFFF"/>
        </w:rPr>
        <w:t>Rev. 163, 169 (2006) (</w:t>
      </w:r>
      <w:r w:rsidR="0041183E">
        <w:rPr>
          <w:rFonts w:eastAsia="Calibri" w:cs="Times New Roman"/>
          <w:szCs w:val="24"/>
          <w:shd w:val="clear" w:color="auto" w:fill="FFFFFF"/>
        </w:rPr>
        <w:t>“</w:t>
      </w:r>
      <w:r w:rsidRPr="005375C4">
        <w:rPr>
          <w:rFonts w:eastAsia="Calibri" w:cs="Times New Roman"/>
          <w:szCs w:val="24"/>
          <w:shd w:val="clear" w:color="auto" w:fill="FFFFFF"/>
        </w:rPr>
        <w:t>Far from facilitating a robust marketplace of ideas, America</w:t>
      </w:r>
      <w:r w:rsidR="0041183E">
        <w:rPr>
          <w:rFonts w:eastAsia="Calibri" w:cs="Times New Roman"/>
          <w:szCs w:val="24"/>
          <w:shd w:val="clear" w:color="auto" w:fill="FFFFFF"/>
        </w:rPr>
        <w:t>’</w:t>
      </w:r>
      <w:r w:rsidRPr="005375C4">
        <w:rPr>
          <w:rFonts w:eastAsia="Calibri" w:cs="Times New Roman"/>
          <w:szCs w:val="24"/>
          <w:shd w:val="clear" w:color="auto" w:fill="FFFFFF"/>
        </w:rPr>
        <w:t>s two-party system often suppresses meaningful discussion</w:t>
      </w:r>
      <w:r w:rsidR="0041183E">
        <w:rPr>
          <w:rFonts w:eastAsia="Calibri" w:cs="Times New Roman"/>
          <w:szCs w:val="24"/>
          <w:shd w:val="clear" w:color="auto" w:fill="FFFFFF"/>
        </w:rPr>
        <w:t>”</w:t>
      </w:r>
      <w:r w:rsidRPr="005375C4">
        <w:rPr>
          <w:rFonts w:eastAsia="Calibri" w:cs="Times New Roman"/>
          <w:szCs w:val="24"/>
          <w:shd w:val="clear" w:color="auto" w:fill="FFFFFF"/>
        </w:rPr>
        <w:t xml:space="preserve"> (footnote omitted)</w:t>
      </w:r>
      <w:r w:rsidR="0041183E">
        <w:rPr>
          <w:rFonts w:eastAsia="Calibri" w:cs="Times New Roman"/>
          <w:szCs w:val="24"/>
          <w:shd w:val="clear" w:color="auto" w:fill="FFFFFF"/>
        </w:rPr>
        <w:t>).</w:t>
      </w:r>
    </w:p>
    <w:p w14:paraId="21F3FE8D" w14:textId="1A0E291E" w:rsidR="004923C5" w:rsidRPr="00FD791E" w:rsidRDefault="005375C4" w:rsidP="00FD791E">
      <w:pPr>
        <w:spacing w:line="480" w:lineRule="auto"/>
        <w:ind w:firstLine="720"/>
        <w:jc w:val="both"/>
        <w:rPr>
          <w:rFonts w:eastAsia="Calibri" w:cs="Times New Roman"/>
          <w:szCs w:val="24"/>
          <w:shd w:val="clear" w:color="auto" w:fill="FFFFFF"/>
        </w:rPr>
      </w:pPr>
      <w:r w:rsidRPr="005375C4">
        <w:rPr>
          <w:rFonts w:eastAsia="Calibri" w:cs="Times New Roman"/>
          <w:szCs w:val="24"/>
          <w:shd w:val="clear" w:color="auto" w:fill="FFFFFF"/>
        </w:rPr>
        <w:t>The reality is that Delaware</w:t>
      </w:r>
      <w:r w:rsidR="0041183E">
        <w:rPr>
          <w:rFonts w:eastAsia="Calibri" w:cs="Times New Roman"/>
          <w:szCs w:val="24"/>
          <w:shd w:val="clear" w:color="auto" w:fill="FFFFFF"/>
        </w:rPr>
        <w:t>’</w:t>
      </w:r>
      <w:r w:rsidRPr="005375C4">
        <w:rPr>
          <w:rFonts w:eastAsia="Calibri" w:cs="Times New Roman"/>
          <w:szCs w:val="24"/>
          <w:shd w:val="clear" w:color="auto" w:fill="FFFFFF"/>
        </w:rPr>
        <w:t xml:space="preserve">s </w:t>
      </w:r>
      <w:r w:rsidR="00FD791E">
        <w:rPr>
          <w:rFonts w:eastAsia="Calibri" w:cs="Times New Roman"/>
          <w:szCs w:val="24"/>
          <w:shd w:val="clear" w:color="auto" w:fill="FFFFFF"/>
        </w:rPr>
        <w:t>Two-Party Provision</w:t>
      </w:r>
      <w:r w:rsidRPr="005375C4">
        <w:rPr>
          <w:rFonts w:eastAsia="Calibri" w:cs="Times New Roman"/>
          <w:szCs w:val="24"/>
          <w:shd w:val="clear" w:color="auto" w:fill="FFFFFF"/>
        </w:rPr>
        <w:t xml:space="preserve"> does not foster good government within any understandable sense of those words. It is not necessary for Aristotelian justice. It does not promote nonpartisanship. It does not in a meaningful way proxy for people</w:t>
      </w:r>
      <w:r w:rsidR="00FD791E">
        <w:rPr>
          <w:rFonts w:eastAsia="Calibri" w:cs="Times New Roman"/>
          <w:szCs w:val="24"/>
          <w:shd w:val="clear" w:color="auto" w:fill="FFFFFF"/>
        </w:rPr>
        <w:t>’</w:t>
      </w:r>
      <w:r w:rsidRPr="005375C4">
        <w:rPr>
          <w:rFonts w:eastAsia="Calibri" w:cs="Times New Roman"/>
          <w:szCs w:val="24"/>
          <w:shd w:val="clear" w:color="auto" w:fill="FFFFFF"/>
        </w:rPr>
        <w:t xml:space="preserve">s preferences. It does not foster principled developments in </w:t>
      </w:r>
      <w:r w:rsidR="00FD791E">
        <w:rPr>
          <w:rFonts w:eastAsia="Calibri" w:cs="Times New Roman"/>
          <w:szCs w:val="24"/>
          <w:shd w:val="clear" w:color="auto" w:fill="FFFFFF"/>
        </w:rPr>
        <w:t>the</w:t>
      </w:r>
      <w:r w:rsidRPr="005375C4">
        <w:rPr>
          <w:rFonts w:eastAsia="Calibri" w:cs="Times New Roman"/>
          <w:szCs w:val="24"/>
          <w:shd w:val="clear" w:color="auto" w:fill="FFFFFF"/>
        </w:rPr>
        <w:t xml:space="preserve"> law. It does not obviate the possibility of political gamesmanship.  It has absolutely nothing to do, in short, with achieving constitutionally acceptable political balance.  Far from it.  </w:t>
      </w:r>
      <w:r w:rsidR="00FD791E">
        <w:rPr>
          <w:rFonts w:eastAsia="Calibri" w:cs="Times New Roman"/>
          <w:szCs w:val="24"/>
          <w:shd w:val="clear" w:color="auto" w:fill="FFFFFF"/>
        </w:rPr>
        <w:t>The Two-Party Provision</w:t>
      </w:r>
      <w:r w:rsidRPr="005375C4">
        <w:rPr>
          <w:rFonts w:eastAsia="Calibri" w:cs="Times New Roman"/>
          <w:szCs w:val="24"/>
          <w:shd w:val="clear" w:color="auto" w:fill="FFFFFF"/>
        </w:rPr>
        <w:t xml:space="preserve"> is designed to achieve an unconstitutional imbalance in the State</w:t>
      </w:r>
      <w:r w:rsidR="00FD791E">
        <w:rPr>
          <w:rFonts w:eastAsia="Calibri" w:cs="Times New Roman"/>
          <w:szCs w:val="24"/>
          <w:shd w:val="clear" w:color="auto" w:fill="FFFFFF"/>
        </w:rPr>
        <w:t>’</w:t>
      </w:r>
      <w:r w:rsidRPr="005375C4">
        <w:rPr>
          <w:rFonts w:eastAsia="Calibri" w:cs="Times New Roman"/>
          <w:szCs w:val="24"/>
          <w:shd w:val="clear" w:color="auto" w:fill="FFFFFF"/>
        </w:rPr>
        <w:t>s court system</w:t>
      </w:r>
      <w:r w:rsidR="00FD791E">
        <w:rPr>
          <w:rFonts w:eastAsia="Calibri" w:cs="Times New Roman"/>
          <w:szCs w:val="24"/>
          <w:shd w:val="clear" w:color="auto" w:fill="FFFFFF"/>
        </w:rPr>
        <w:t>, and it achieves that purpose.</w:t>
      </w:r>
      <w:r w:rsidRPr="005375C4">
        <w:rPr>
          <w:rFonts w:eastAsia="Calibri" w:cs="Times New Roman"/>
          <w:szCs w:val="24"/>
          <w:shd w:val="clear" w:color="auto" w:fill="FFFFFF"/>
        </w:rPr>
        <w:t xml:space="preserve">  It is therefore unconstitutional.</w:t>
      </w:r>
      <w:bookmarkEnd w:id="0"/>
    </w:p>
    <w:sectPr w:rsidR="004923C5" w:rsidRPr="00FD7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73331" w14:textId="77777777" w:rsidR="00A94382" w:rsidRDefault="00A94382" w:rsidP="00131269">
      <w:r>
        <w:separator/>
      </w:r>
    </w:p>
  </w:endnote>
  <w:endnote w:type="continuationSeparator" w:id="0">
    <w:p w14:paraId="17F631D1" w14:textId="77777777" w:rsidR="00A94382" w:rsidRDefault="00A94382" w:rsidP="0013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C53E" w14:textId="77777777" w:rsidR="00A94382" w:rsidRDefault="00A94382" w:rsidP="00131269">
      <w:r>
        <w:separator/>
      </w:r>
    </w:p>
  </w:footnote>
  <w:footnote w:type="continuationSeparator" w:id="0">
    <w:p w14:paraId="239F1270" w14:textId="77777777" w:rsidR="00A94382" w:rsidRDefault="00A94382" w:rsidP="00131269">
      <w:r>
        <w:continuationSeparator/>
      </w:r>
    </w:p>
  </w:footnote>
  <w:footnote w:id="1">
    <w:p w14:paraId="718D72E2" w14:textId="77777777" w:rsidR="00131269" w:rsidRPr="006021F9" w:rsidRDefault="00131269" w:rsidP="00131269">
      <w:pPr>
        <w:pStyle w:val="FootnoteText"/>
        <w:jc w:val="both"/>
        <w:rPr>
          <w:rFonts w:ascii="Times New Roman" w:hAnsi="Times New Roman"/>
        </w:rPr>
      </w:pPr>
      <w:r w:rsidRPr="006021F9">
        <w:rPr>
          <w:rStyle w:val="FootnoteReference"/>
          <w:rFonts w:ascii="Times New Roman" w:hAnsi="Times New Roman"/>
        </w:rPr>
        <w:footnoteRef/>
      </w:r>
      <w:r w:rsidRPr="006021F9">
        <w:rPr>
          <w:rFonts w:ascii="Times New Roman" w:hAnsi="Times New Roman"/>
        </w:rPr>
        <w:t xml:space="preserve"> No counsel for a party authored this brief in whole or in part, and no entity or person, other than amicus curiae, its members, and its counsel, made a monetary contribution intended to fund the preparation or submission of this brief. Letters from the parties consenting to the filing of amicus briefs in this case are on file with the Clerk.</w:t>
      </w:r>
    </w:p>
  </w:footnote>
  <w:footnote w:id="2">
    <w:p w14:paraId="5A7D2ADB" w14:textId="77777777" w:rsidR="00131269" w:rsidRPr="006021F9" w:rsidRDefault="00131269" w:rsidP="00131269">
      <w:pPr>
        <w:pStyle w:val="FootnoteText"/>
        <w:jc w:val="both"/>
        <w:rPr>
          <w:rFonts w:ascii="Times New Roman" w:hAnsi="Times New Roman"/>
        </w:rPr>
      </w:pPr>
      <w:r w:rsidRPr="006021F9">
        <w:rPr>
          <w:rStyle w:val="FootnoteReference"/>
          <w:rFonts w:ascii="Times New Roman" w:hAnsi="Times New Roman"/>
        </w:rPr>
        <w:footnoteRef/>
      </w:r>
      <w:r w:rsidRPr="006021F9">
        <w:rPr>
          <w:rFonts w:ascii="Times New Roman" w:hAnsi="Times New Roman"/>
        </w:rPr>
        <w:t xml:space="preserve"> </w:t>
      </w:r>
      <w:r>
        <w:rPr>
          <w:rFonts w:ascii="Times New Roman" w:hAnsi="Times New Roman"/>
          <w:i/>
          <w:iCs/>
        </w:rPr>
        <w:t xml:space="preserve">See </w:t>
      </w:r>
      <w:r>
        <w:rPr>
          <w:rFonts w:ascii="Times New Roman" w:hAnsi="Times New Roman"/>
        </w:rPr>
        <w:t xml:space="preserve">Libertarian Party, </w:t>
      </w:r>
      <w:r>
        <w:rPr>
          <w:rFonts w:ascii="Times New Roman" w:hAnsi="Times New Roman"/>
          <w:i/>
          <w:iCs/>
        </w:rPr>
        <w:t>Statement of Principles</w:t>
      </w:r>
      <w:r>
        <w:rPr>
          <w:rFonts w:ascii="Times New Roman" w:hAnsi="Times New Roman"/>
        </w:rPr>
        <w:t xml:space="preserve">, available at </w:t>
      </w:r>
      <w:hyperlink r:id="rId1" w:history="1">
        <w:r w:rsidRPr="00A72142">
          <w:rPr>
            <w:rStyle w:val="Hyperlink"/>
            <w:rFonts w:ascii="Times New Roman" w:hAnsi="Times New Roman"/>
          </w:rPr>
          <w:t>https://www.lp.org/platform/</w:t>
        </w:r>
      </w:hyperlink>
      <w:r>
        <w:rPr>
          <w:rFonts w:ascii="Times New Roman" w:hAnsi="Times New Roman"/>
        </w:rPr>
        <w:t xml:space="preserve"> (last visited February 22,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C3F29"/>
    <w:multiLevelType w:val="multilevel"/>
    <w:tmpl w:val="D4BA8130"/>
    <w:lvl w:ilvl="0">
      <w:start w:val="1"/>
      <w:numFmt w:val="upperRoman"/>
      <w:pStyle w:val="Heading1"/>
      <w:lvlText w:val="%1."/>
      <w:lvlJc w:val="left"/>
      <w:pPr>
        <w:ind w:left="0" w:firstLine="0"/>
      </w:pPr>
      <w:rPr>
        <w:rFonts w:ascii="Times New Roman" w:hAnsi="Times New Roman" w:hint="default"/>
        <w:b/>
        <w:i w:val="0"/>
        <w:sz w:val="24"/>
      </w:rPr>
    </w:lvl>
    <w:lvl w:ilvl="1">
      <w:start w:val="1"/>
      <w:numFmt w:val="upperLetter"/>
      <w:pStyle w:val="Heading2"/>
      <w:lvlText w:val="%2."/>
      <w:lvlJc w:val="left"/>
      <w:pPr>
        <w:ind w:left="720" w:firstLine="0"/>
      </w:pPr>
      <w:rPr>
        <w:rFonts w:ascii="Times New Roman Bold" w:hAnsi="Times New Roman Bold" w:hint="default"/>
        <w:b/>
        <w:i w:val="0"/>
        <w:sz w:val="24"/>
      </w:rPr>
    </w:lvl>
    <w:lvl w:ilvl="2">
      <w:start w:val="1"/>
      <w:numFmt w:val="decimal"/>
      <w:pStyle w:val="Heading3"/>
      <w:lvlText w:val="%3."/>
      <w:lvlJc w:val="left"/>
      <w:pPr>
        <w:ind w:left="1440" w:firstLine="0"/>
      </w:pPr>
      <w:rPr>
        <w:rFonts w:ascii="Times New Roman Bold" w:hAnsi="Times New Roman Bold" w:hint="default"/>
        <w:b/>
        <w:i w:val="0"/>
        <w:sz w:val="24"/>
      </w:rPr>
    </w:lvl>
    <w:lvl w:ilvl="3">
      <w:start w:val="1"/>
      <w:numFmt w:val="lowerLetter"/>
      <w:pStyle w:val="Heading4"/>
      <w:lvlText w:val="%4."/>
      <w:lvlJc w:val="left"/>
      <w:pPr>
        <w:ind w:left="2160" w:firstLine="0"/>
      </w:pPr>
      <w:rPr>
        <w:rFonts w:ascii="Times New Roman Bold" w:hAnsi="Times New Roman Bold" w:hint="default"/>
        <w:b/>
        <w:i w:val="0"/>
        <w:sz w:val="24"/>
      </w:rPr>
    </w:lvl>
    <w:lvl w:ilvl="4">
      <w:start w:val="1"/>
      <w:numFmt w:val="lowerRoman"/>
      <w:pStyle w:val="Heading5"/>
      <w:lvlText w:val="%5."/>
      <w:lvlJc w:val="left"/>
      <w:pPr>
        <w:ind w:left="2880" w:firstLine="0"/>
      </w:pPr>
      <w:rPr>
        <w:rFonts w:ascii="Times New Roman Bold" w:hAnsi="Times New Roman Bold"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69"/>
    <w:rsid w:val="0004300D"/>
    <w:rsid w:val="00050F7E"/>
    <w:rsid w:val="000D4DFD"/>
    <w:rsid w:val="00105585"/>
    <w:rsid w:val="00131269"/>
    <w:rsid w:val="00143770"/>
    <w:rsid w:val="00156692"/>
    <w:rsid w:val="002F295D"/>
    <w:rsid w:val="003045CA"/>
    <w:rsid w:val="00393614"/>
    <w:rsid w:val="00400A59"/>
    <w:rsid w:val="0041183E"/>
    <w:rsid w:val="00420080"/>
    <w:rsid w:val="004923C5"/>
    <w:rsid w:val="00505A2A"/>
    <w:rsid w:val="005375C4"/>
    <w:rsid w:val="00556BEF"/>
    <w:rsid w:val="005A5510"/>
    <w:rsid w:val="00730C6A"/>
    <w:rsid w:val="00814A77"/>
    <w:rsid w:val="008C6726"/>
    <w:rsid w:val="009E0A33"/>
    <w:rsid w:val="009E71C0"/>
    <w:rsid w:val="00A62353"/>
    <w:rsid w:val="00A92F70"/>
    <w:rsid w:val="00A94382"/>
    <w:rsid w:val="00B25A45"/>
    <w:rsid w:val="00B3578B"/>
    <w:rsid w:val="00B46A8D"/>
    <w:rsid w:val="00BA1087"/>
    <w:rsid w:val="00C140D7"/>
    <w:rsid w:val="00C46301"/>
    <w:rsid w:val="00C86176"/>
    <w:rsid w:val="00D518D2"/>
    <w:rsid w:val="00D9651B"/>
    <w:rsid w:val="00DB22D9"/>
    <w:rsid w:val="00DC7B2C"/>
    <w:rsid w:val="00DE20A2"/>
    <w:rsid w:val="00F17280"/>
    <w:rsid w:val="00F765C6"/>
    <w:rsid w:val="00FD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E260"/>
  <w15:chartTrackingRefBased/>
  <w15:docId w15:val="{1AB11E96-5B7B-4096-AD86-27DC7FC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5"/>
    <w:next w:val="Normal"/>
    <w:link w:val="Heading1Char"/>
    <w:uiPriority w:val="9"/>
    <w:qFormat/>
    <w:rsid w:val="00D518D2"/>
    <w:pPr>
      <w:numPr>
        <w:ilvl w:val="0"/>
      </w:numPr>
      <w:spacing w:before="240"/>
      <w:outlineLvl w:val="0"/>
    </w:pPr>
    <w:rPr>
      <w:rFonts w:ascii="Times New Roman Bold" w:hAnsi="Times New Roman Bold"/>
      <w:b w:val="0"/>
      <w:szCs w:val="32"/>
    </w:rPr>
  </w:style>
  <w:style w:type="paragraph" w:styleId="Heading2">
    <w:name w:val="heading 2"/>
    <w:basedOn w:val="Normal"/>
    <w:next w:val="Normal"/>
    <w:link w:val="Heading2Char"/>
    <w:uiPriority w:val="9"/>
    <w:unhideWhenUsed/>
    <w:qFormat/>
    <w:rsid w:val="00D518D2"/>
    <w:pPr>
      <w:keepNext/>
      <w:keepLines/>
      <w:numPr>
        <w:ilvl w:val="1"/>
        <w:numId w:val="28"/>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8D2"/>
    <w:pPr>
      <w:keepNext/>
      <w:keepLines/>
      <w:numPr>
        <w:ilvl w:val="2"/>
        <w:numId w:val="28"/>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518D2"/>
    <w:pPr>
      <w:keepNext/>
      <w:keepLines/>
      <w:numPr>
        <w:ilvl w:val="3"/>
        <w:numId w:val="23"/>
      </w:numPr>
      <w:spacing w:before="40"/>
      <w:ind w:left="3600" w:hanging="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D518D2"/>
    <w:pPr>
      <w:keepNext/>
      <w:keepLines/>
      <w:numPr>
        <w:ilvl w:val="4"/>
        <w:numId w:val="28"/>
      </w:numPr>
      <w:spacing w:before="4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8D2"/>
    <w:rPr>
      <w:rFonts w:ascii="Times New Roman Bold" w:eastAsiaTheme="majorEastAsia" w:hAnsi="Times New Roman Bold" w:cstheme="majorBidi"/>
      <w:szCs w:val="32"/>
    </w:rPr>
  </w:style>
  <w:style w:type="character" w:customStyle="1" w:styleId="Heading5Char">
    <w:name w:val="Heading 5 Char"/>
    <w:basedOn w:val="DefaultParagraphFont"/>
    <w:link w:val="Heading5"/>
    <w:uiPriority w:val="9"/>
    <w:rsid w:val="002F295D"/>
    <w:rPr>
      <w:rFonts w:eastAsiaTheme="majorEastAsia" w:cstheme="majorBidi"/>
      <w:b/>
    </w:rPr>
  </w:style>
  <w:style w:type="character" w:customStyle="1" w:styleId="Heading2Char">
    <w:name w:val="Heading 2 Char"/>
    <w:basedOn w:val="DefaultParagraphFont"/>
    <w:link w:val="Heading2"/>
    <w:uiPriority w:val="9"/>
    <w:rsid w:val="00D518D2"/>
    <w:rPr>
      <w:rFonts w:eastAsiaTheme="majorEastAsia" w:cstheme="majorBidi"/>
      <w:b/>
      <w:szCs w:val="26"/>
    </w:rPr>
  </w:style>
  <w:style w:type="character" w:customStyle="1" w:styleId="Heading3Char">
    <w:name w:val="Heading 3 Char"/>
    <w:basedOn w:val="DefaultParagraphFont"/>
    <w:link w:val="Heading3"/>
    <w:uiPriority w:val="9"/>
    <w:rsid w:val="00D518D2"/>
    <w:rPr>
      <w:rFonts w:eastAsiaTheme="majorEastAsia" w:cstheme="majorBidi"/>
      <w:b/>
      <w:szCs w:val="24"/>
    </w:rPr>
  </w:style>
  <w:style w:type="character" w:customStyle="1" w:styleId="Heading4Char">
    <w:name w:val="Heading 4 Char"/>
    <w:basedOn w:val="DefaultParagraphFont"/>
    <w:link w:val="Heading4"/>
    <w:uiPriority w:val="9"/>
    <w:rsid w:val="00D518D2"/>
    <w:rPr>
      <w:rFonts w:eastAsiaTheme="majorEastAsia" w:cstheme="majorBidi"/>
      <w:b/>
      <w:iCs/>
    </w:rPr>
  </w:style>
  <w:style w:type="character" w:styleId="Hyperlink">
    <w:name w:val="Hyperlink"/>
    <w:basedOn w:val="DefaultParagraphFont"/>
    <w:uiPriority w:val="99"/>
    <w:unhideWhenUsed/>
    <w:rsid w:val="00131269"/>
    <w:rPr>
      <w:color w:val="0000FF"/>
      <w:u w:val="single"/>
    </w:rPr>
  </w:style>
  <w:style w:type="paragraph" w:styleId="NoSpacing">
    <w:name w:val="No Spacing"/>
    <w:uiPriority w:val="1"/>
    <w:qFormat/>
    <w:rsid w:val="00131269"/>
    <w:rPr>
      <w:rFonts w:asciiTheme="minorHAnsi" w:hAnsiTheme="minorHAnsi"/>
      <w:sz w:val="22"/>
    </w:rPr>
  </w:style>
  <w:style w:type="paragraph" w:styleId="FootnoteText">
    <w:name w:val="footnote text"/>
    <w:basedOn w:val="Normal"/>
    <w:link w:val="FootnoteTextChar"/>
    <w:uiPriority w:val="99"/>
    <w:unhideWhenUsed/>
    <w:rsid w:val="0013126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6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31269"/>
    <w:rPr>
      <w:vertAlign w:val="superscript"/>
    </w:rPr>
  </w:style>
  <w:style w:type="character" w:styleId="UnresolvedMention">
    <w:name w:val="Unresolved Mention"/>
    <w:basedOn w:val="DefaultParagraphFont"/>
    <w:uiPriority w:val="99"/>
    <w:semiHidden/>
    <w:unhideWhenUsed/>
    <w:rsid w:val="0010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p.org/elected-officials/?page=CiviCRM&amp;q=civicrm/profile&amp;gid=38&amp;force=1&amp;crmRowCount=100&amp;reset=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ctions.delaware.gov/reports/e70r2601pty_20200215.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next.westlaw.com/Link/Document/FullText?findType=Y&amp;serNum=0294738620&amp;pubNum=0002984&amp;originatingDoc=Ib27d4fe1f2de11dbacd6b4db45fd6021&amp;refType=LR&amp;fi=co_pp_sp_2984_1961&amp;originationContext=document&amp;transitionType=DocumentItem&amp;contextData=(sc.Search)" TargetMode="External"/><Relationship Id="rId5" Type="http://schemas.openxmlformats.org/officeDocument/2006/relationships/footnotes" Target="footnotes.xml"/><Relationship Id="rId10" Type="http://schemas.openxmlformats.org/officeDocument/2006/relationships/hyperlink" Target="https://1.next.westlaw.com/Link/Document/FullText?findType=Y&amp;serNum=1968131244&amp;pubNum=708&amp;originatingDoc=I8634c8189c9011d993e6d35cc61aab4a&amp;refType=RP&amp;fi=co_pp_sp_708_11&amp;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s://www.ourcampaigns.com/CandidateDetail.html?CandidateID=48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p.org/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Oliver</cp:lastModifiedBy>
  <cp:revision>18</cp:revision>
  <dcterms:created xsi:type="dcterms:W3CDTF">2020-02-26T15:43:00Z</dcterms:created>
  <dcterms:modified xsi:type="dcterms:W3CDTF">2020-02-26T20:22:00Z</dcterms:modified>
</cp:coreProperties>
</file>