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7557" w14:textId="77777777" w:rsidR="00F15362" w:rsidRPr="009A401C" w:rsidRDefault="00F15362" w:rsidP="00F15362">
      <w:pPr>
        <w:pStyle w:val="Heading2"/>
      </w:pPr>
      <w:bookmarkStart w:id="0" w:name="_Toc39875114"/>
      <w:bookmarkStart w:id="1" w:name="_Toc39875233"/>
      <w:r>
        <w:t>C</w:t>
      </w:r>
      <w:r w:rsidRPr="009A401C">
        <w:t>OMMITTEE A</w:t>
      </w:r>
      <w:r>
        <w:t>PPOINTMENTS AND</w:t>
      </w:r>
      <w:r w:rsidRPr="009A401C">
        <w:t xml:space="preserve"> TERMS OF OFFICE</w:t>
      </w:r>
      <w:bookmarkEnd w:id="0"/>
      <w:bookmarkEnd w:id="1"/>
    </w:p>
    <w:p w14:paraId="5C145CA7" w14:textId="77777777" w:rsidR="00F15362" w:rsidRDefault="00F15362" w:rsidP="00F15362"/>
    <w:p w14:paraId="1433488A" w14:textId="77777777" w:rsidR="00F15362" w:rsidRDefault="00F15362" w:rsidP="00F15362">
      <w:pPr>
        <w:pStyle w:val="Heading5"/>
      </w:pPr>
      <w:bookmarkStart w:id="2" w:name="_Toc39875115"/>
      <w:r>
        <w:rPr>
          <w:rStyle w:val="HeadingBaseChar"/>
        </w:rPr>
        <w:t>Committee Appointments</w:t>
      </w:r>
      <w:r>
        <w:rPr>
          <w:rStyle w:val="EndnoteReference"/>
          <w:rFonts w:ascii="Times New Roman" w:hAnsi="Times New Roman"/>
        </w:rPr>
        <w:endnoteReference w:id="1"/>
      </w:r>
      <w:bookmarkEnd w:id="2"/>
    </w:p>
    <w:p w14:paraId="0E728FC2" w14:textId="77777777" w:rsidR="00F15362" w:rsidRDefault="00F15362" w:rsidP="00F15362"/>
    <w:p w14:paraId="5C01ACBD" w14:textId="77777777" w:rsidR="00F15362" w:rsidRDefault="00F15362" w:rsidP="00F15362">
      <w:r>
        <w:t>These committees have special appointment procedures as follows: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0"/>
        <w:gridCol w:w="2880"/>
        <w:gridCol w:w="2340"/>
      </w:tblGrid>
      <w:tr w:rsidR="00F15362" w14:paraId="5F82C525" w14:textId="77777777" w:rsidTr="0022438D">
        <w:trPr>
          <w:jc w:val="center"/>
        </w:trPr>
        <w:tc>
          <w:tcPr>
            <w:tcW w:w="1620" w:type="dxa"/>
          </w:tcPr>
          <w:p w14:paraId="474CAF64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Committee Name</w:t>
            </w:r>
          </w:p>
        </w:tc>
        <w:tc>
          <w:tcPr>
            <w:tcW w:w="3240" w:type="dxa"/>
          </w:tcPr>
          <w:p w14:paraId="63F17C46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2880" w:type="dxa"/>
          </w:tcPr>
          <w:p w14:paraId="42396751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Member Selection</w:t>
            </w:r>
          </w:p>
        </w:tc>
        <w:tc>
          <w:tcPr>
            <w:tcW w:w="2340" w:type="dxa"/>
          </w:tcPr>
          <w:p w14:paraId="2F3D58C2" w14:textId="77777777" w:rsidR="00F15362" w:rsidRDefault="00F15362" w:rsidP="0022438D">
            <w:pPr>
              <w:jc w:val="center"/>
              <w:rPr>
                <w:b/>
              </w:rPr>
            </w:pPr>
            <w:r>
              <w:rPr>
                <w:b/>
              </w:rPr>
              <w:t>Chair Selection</w:t>
            </w:r>
          </w:p>
        </w:tc>
      </w:tr>
      <w:tr w:rsidR="00F15362" w14:paraId="031616EB" w14:textId="77777777" w:rsidTr="0022438D">
        <w:trPr>
          <w:jc w:val="center"/>
        </w:trPr>
        <w:tc>
          <w:tcPr>
            <w:tcW w:w="1620" w:type="dxa"/>
          </w:tcPr>
          <w:p w14:paraId="36D1FEE6" w14:textId="77777777" w:rsidR="00F15362" w:rsidRDefault="00F15362" w:rsidP="0022438D">
            <w:r>
              <w:t>Advertising &amp; Publication Review</w:t>
            </w:r>
          </w:p>
        </w:tc>
        <w:tc>
          <w:tcPr>
            <w:tcW w:w="3240" w:type="dxa"/>
          </w:tcPr>
          <w:p w14:paraId="312C8AF5" w14:textId="77777777" w:rsidR="00F15362" w:rsidRDefault="00F15362" w:rsidP="0022438D">
            <w:r>
              <w:t xml:space="preserve">No more than five (5), all LNC Members </w:t>
            </w:r>
          </w:p>
        </w:tc>
        <w:tc>
          <w:tcPr>
            <w:tcW w:w="2880" w:type="dxa"/>
          </w:tcPr>
          <w:p w14:paraId="14DBA4D6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494F5253" w14:textId="77777777" w:rsidR="00F15362" w:rsidRDefault="00F15362" w:rsidP="0022438D">
            <w:r>
              <w:t>* Committee selected</w:t>
            </w:r>
          </w:p>
        </w:tc>
      </w:tr>
      <w:tr w:rsidR="00F15362" w14:paraId="41877022" w14:textId="77777777" w:rsidTr="0022438D">
        <w:trPr>
          <w:jc w:val="center"/>
        </w:trPr>
        <w:tc>
          <w:tcPr>
            <w:tcW w:w="1620" w:type="dxa"/>
          </w:tcPr>
          <w:p w14:paraId="0179E3E8" w14:textId="77777777" w:rsidR="00F15362" w:rsidRPr="00B8237D" w:rsidRDefault="00F15362" w:rsidP="0022438D">
            <w:r w:rsidRPr="00B8237D">
              <w:t>Affiliate Support Committee</w:t>
            </w:r>
          </w:p>
        </w:tc>
        <w:tc>
          <w:tcPr>
            <w:tcW w:w="3240" w:type="dxa"/>
          </w:tcPr>
          <w:p w14:paraId="3C28E70B" w14:textId="77777777" w:rsidR="00F15362" w:rsidRPr="008E7DAE" w:rsidRDefault="00F15362" w:rsidP="0022438D">
            <w:r w:rsidRPr="008E7DAE">
              <w:t xml:space="preserve">Seven </w:t>
            </w:r>
            <w:r>
              <w:t xml:space="preserve">(7) </w:t>
            </w:r>
            <w:r w:rsidRPr="008E7DAE">
              <w:t>members</w:t>
            </w:r>
          </w:p>
        </w:tc>
        <w:tc>
          <w:tcPr>
            <w:tcW w:w="2880" w:type="dxa"/>
          </w:tcPr>
          <w:p w14:paraId="08345E78" w14:textId="77777777" w:rsidR="00F15362" w:rsidRPr="008E7DAE" w:rsidRDefault="00F15362" w:rsidP="0022438D">
            <w:r w:rsidRPr="008E7DAE">
              <w:t xml:space="preserve">Committee Chair selected by LNC Chair; three </w:t>
            </w:r>
            <w:r>
              <w:t xml:space="preserve">(3) </w:t>
            </w:r>
            <w:r w:rsidRPr="008E7DAE">
              <w:t>LNC Regional Representatives selected by the Committee Chair; three</w:t>
            </w:r>
            <w:r>
              <w:t xml:space="preserve"> (3)</w:t>
            </w:r>
            <w:r w:rsidRPr="008E7DAE">
              <w:t xml:space="preserve"> members selected by Libertarian State Leadership Alliance</w:t>
            </w:r>
          </w:p>
        </w:tc>
        <w:tc>
          <w:tcPr>
            <w:tcW w:w="2340" w:type="dxa"/>
          </w:tcPr>
          <w:p w14:paraId="5C18E148" w14:textId="77777777" w:rsidR="00F15362" w:rsidRPr="008E7DAE" w:rsidRDefault="00F15362" w:rsidP="0022438D">
            <w:r w:rsidRPr="008E7DAE">
              <w:t>LNC Chair selects from pool of LNC At-Large, LNC Regional Representatives, and the LNC Vice</w:t>
            </w:r>
            <w:r>
              <w:t xml:space="preserve"> </w:t>
            </w:r>
            <w:r w:rsidRPr="008E7DAE">
              <w:t>Chair</w:t>
            </w:r>
          </w:p>
        </w:tc>
      </w:tr>
      <w:tr w:rsidR="00F15362" w14:paraId="3FEED02E" w14:textId="77777777" w:rsidTr="0022438D">
        <w:trPr>
          <w:jc w:val="center"/>
        </w:trPr>
        <w:tc>
          <w:tcPr>
            <w:tcW w:w="1620" w:type="dxa"/>
          </w:tcPr>
          <w:p w14:paraId="03E58E30" w14:textId="77777777" w:rsidR="00F15362" w:rsidRDefault="00F15362" w:rsidP="0022438D">
            <w:r>
              <w:t xml:space="preserve">Audit </w:t>
            </w:r>
            <w:r>
              <w:rPr>
                <w:rStyle w:val="EndnoteReference"/>
              </w:rPr>
              <w:endnoteReference w:id="2"/>
            </w:r>
          </w:p>
        </w:tc>
        <w:tc>
          <w:tcPr>
            <w:tcW w:w="3240" w:type="dxa"/>
          </w:tcPr>
          <w:p w14:paraId="188C8601" w14:textId="77777777" w:rsidR="00F15362" w:rsidRDefault="00F15362" w:rsidP="0022438D">
            <w:r>
              <w:t>One (1) non-officer LNC member and two (2) non-LNC members</w:t>
            </w:r>
          </w:p>
        </w:tc>
        <w:tc>
          <w:tcPr>
            <w:tcW w:w="2880" w:type="dxa"/>
          </w:tcPr>
          <w:p w14:paraId="61FDA18A" w14:textId="77777777" w:rsidR="00F15362" w:rsidRPr="00F22A2A" w:rsidRDefault="00F15362" w:rsidP="0022438D">
            <w:r w:rsidRPr="00F22A2A">
              <w:t>Non-officer LNC members</w:t>
            </w:r>
          </w:p>
        </w:tc>
        <w:tc>
          <w:tcPr>
            <w:tcW w:w="2340" w:type="dxa"/>
          </w:tcPr>
          <w:p w14:paraId="5A2B086B" w14:textId="77777777" w:rsidR="00F15362" w:rsidRDefault="00F15362" w:rsidP="0022438D">
            <w:r>
              <w:t>* Committee selected</w:t>
            </w:r>
          </w:p>
        </w:tc>
      </w:tr>
      <w:tr w:rsidR="00F15362" w14:paraId="0D285BAC" w14:textId="77777777" w:rsidTr="0022438D">
        <w:trPr>
          <w:jc w:val="center"/>
        </w:trPr>
        <w:tc>
          <w:tcPr>
            <w:tcW w:w="1620" w:type="dxa"/>
          </w:tcPr>
          <w:p w14:paraId="47B55059" w14:textId="77777777" w:rsidR="00F15362" w:rsidRDefault="00F15362" w:rsidP="0022438D">
            <w:r>
              <w:t>Awards</w:t>
            </w:r>
          </w:p>
        </w:tc>
        <w:tc>
          <w:tcPr>
            <w:tcW w:w="3240" w:type="dxa"/>
          </w:tcPr>
          <w:p w14:paraId="11D845CB" w14:textId="77777777" w:rsidR="00F15362" w:rsidRPr="00D011C7" w:rsidRDefault="00F15362" w:rsidP="0022438D">
            <w:r>
              <w:t>Five (5) members, including up to two (2) non-LNC members</w:t>
            </w:r>
          </w:p>
        </w:tc>
        <w:tc>
          <w:tcPr>
            <w:tcW w:w="2880" w:type="dxa"/>
          </w:tcPr>
          <w:p w14:paraId="30FA3FF5" w14:textId="77777777" w:rsidR="00F15362" w:rsidRDefault="00F15362" w:rsidP="0022438D">
            <w:r>
              <w:t>LNC - Each cycle strive to keep two (2) members of past Awards Committee</w:t>
            </w:r>
          </w:p>
        </w:tc>
        <w:tc>
          <w:tcPr>
            <w:tcW w:w="2340" w:type="dxa"/>
          </w:tcPr>
          <w:p w14:paraId="0B747139" w14:textId="77777777" w:rsidR="00F15362" w:rsidRDefault="00F15362" w:rsidP="0022438D">
            <w:r>
              <w:t>* Committee selected</w:t>
            </w:r>
          </w:p>
        </w:tc>
      </w:tr>
      <w:tr w:rsidR="00F15362" w14:paraId="63B392EE" w14:textId="77777777" w:rsidTr="0022438D">
        <w:trPr>
          <w:jc w:val="center"/>
        </w:trPr>
        <w:tc>
          <w:tcPr>
            <w:tcW w:w="1620" w:type="dxa"/>
          </w:tcPr>
          <w:p w14:paraId="60517F4B" w14:textId="77777777" w:rsidR="00F15362" w:rsidRDefault="00F15362" w:rsidP="0022438D">
            <w:r>
              <w:t>Ballot Access</w:t>
            </w:r>
          </w:p>
        </w:tc>
        <w:tc>
          <w:tcPr>
            <w:tcW w:w="3240" w:type="dxa"/>
          </w:tcPr>
          <w:p w14:paraId="318D47B9" w14:textId="77777777" w:rsidR="00F15362" w:rsidRPr="005C5A2B" w:rsidRDefault="00F15362" w:rsidP="0022438D">
            <w:r>
              <w:t>Fi</w:t>
            </w:r>
            <w:r w:rsidRPr="005C5A2B">
              <w:t xml:space="preserve">ve </w:t>
            </w:r>
            <w:r>
              <w:t>(5) P</w:t>
            </w:r>
            <w:r w:rsidRPr="005C5A2B">
              <w:t>arty members, no less th</w:t>
            </w:r>
            <w:r>
              <w:t>an three (3) of which shall be LNC m</w:t>
            </w:r>
            <w:r w:rsidRPr="005C5A2B">
              <w:t xml:space="preserve">embers </w:t>
            </w:r>
          </w:p>
        </w:tc>
        <w:tc>
          <w:tcPr>
            <w:tcW w:w="2880" w:type="dxa"/>
          </w:tcPr>
          <w:p w14:paraId="14055821" w14:textId="77777777" w:rsidR="00F15362" w:rsidRPr="0009170E" w:rsidRDefault="00F15362" w:rsidP="0022438D">
            <w:r>
              <w:t>LNC members selected by LNC</w:t>
            </w:r>
            <w:r w:rsidRPr="005C5A2B">
              <w:t xml:space="preserve"> using </w:t>
            </w:r>
            <w:r>
              <w:t>a</w:t>
            </w:r>
            <w:r w:rsidRPr="005C5A2B">
              <w:t>pproval voting</w:t>
            </w:r>
            <w:r>
              <w:t>, non-LNC members selected by the LNC Chair</w:t>
            </w:r>
          </w:p>
        </w:tc>
        <w:tc>
          <w:tcPr>
            <w:tcW w:w="2340" w:type="dxa"/>
          </w:tcPr>
          <w:p w14:paraId="2C12AE40" w14:textId="77777777" w:rsidR="00F15362" w:rsidRPr="0009170E" w:rsidRDefault="00F15362" w:rsidP="0022438D">
            <w:r>
              <w:t>LNC Chair</w:t>
            </w:r>
          </w:p>
        </w:tc>
      </w:tr>
      <w:tr w:rsidR="00F15362" w14:paraId="6E931B68" w14:textId="77777777" w:rsidTr="0022438D">
        <w:trPr>
          <w:jc w:val="center"/>
        </w:trPr>
        <w:tc>
          <w:tcPr>
            <w:tcW w:w="1620" w:type="dxa"/>
          </w:tcPr>
          <w:p w14:paraId="7B18B1D0" w14:textId="77777777" w:rsidR="00F15362" w:rsidRDefault="00F15362" w:rsidP="0022438D">
            <w:r>
              <w:t>Candidate Support Committee</w:t>
            </w:r>
          </w:p>
        </w:tc>
        <w:tc>
          <w:tcPr>
            <w:tcW w:w="3240" w:type="dxa"/>
          </w:tcPr>
          <w:p w14:paraId="7D6A7457" w14:textId="77777777" w:rsidR="00F15362" w:rsidRPr="00CF3C75" w:rsidRDefault="00F15362" w:rsidP="0022438D">
            <w:r w:rsidRPr="00CF3C75">
              <w:t xml:space="preserve">Five </w:t>
            </w:r>
            <w:r>
              <w:t xml:space="preserve">(5) </w:t>
            </w:r>
            <w:r w:rsidRPr="00CF3C75">
              <w:t xml:space="preserve">LNC members and two </w:t>
            </w:r>
            <w:r>
              <w:t xml:space="preserve">(2) </w:t>
            </w:r>
            <w:r w:rsidRPr="00CF3C75">
              <w:t>non-LNC members of the LP</w:t>
            </w:r>
          </w:p>
        </w:tc>
        <w:tc>
          <w:tcPr>
            <w:tcW w:w="2880" w:type="dxa"/>
          </w:tcPr>
          <w:p w14:paraId="77FE3081" w14:textId="77777777" w:rsidR="00F15362" w:rsidRPr="00CF3C75" w:rsidRDefault="00F15362" w:rsidP="0022438D">
            <w:r w:rsidRPr="00CF3C75">
              <w:t>LNC members elected by the LNC; non-LNC members appointed by the LNC Chair based on recommendations from the LNC members of the committee</w:t>
            </w:r>
          </w:p>
        </w:tc>
        <w:tc>
          <w:tcPr>
            <w:tcW w:w="2340" w:type="dxa"/>
          </w:tcPr>
          <w:p w14:paraId="6D97AB4A" w14:textId="77777777" w:rsidR="00F15362" w:rsidRPr="00CF3C75" w:rsidRDefault="00F15362" w:rsidP="0022438D">
            <w:r w:rsidRPr="00CF3C75">
              <w:t xml:space="preserve">* Committee </w:t>
            </w:r>
            <w:r>
              <w:t>s</w:t>
            </w:r>
            <w:r w:rsidRPr="00CF3C75">
              <w:t>elected</w:t>
            </w:r>
          </w:p>
        </w:tc>
      </w:tr>
      <w:tr w:rsidR="00F15362" w14:paraId="5BC1F38D" w14:textId="77777777" w:rsidTr="0022438D">
        <w:trPr>
          <w:jc w:val="center"/>
        </w:trPr>
        <w:tc>
          <w:tcPr>
            <w:tcW w:w="1620" w:type="dxa"/>
          </w:tcPr>
          <w:p w14:paraId="1C8F69C8" w14:textId="77777777" w:rsidR="00F15362" w:rsidRDefault="00F15362" w:rsidP="0022438D">
            <w:r>
              <w:t>Convention Oversight</w:t>
            </w:r>
          </w:p>
        </w:tc>
        <w:tc>
          <w:tcPr>
            <w:tcW w:w="3240" w:type="dxa"/>
          </w:tcPr>
          <w:p w14:paraId="44D9E104" w14:textId="77777777" w:rsidR="00F15362" w:rsidRDefault="00F15362" w:rsidP="0022438D">
            <w:r w:rsidRPr="00105389">
              <w:t xml:space="preserve">Seven </w:t>
            </w:r>
            <w:r>
              <w:t xml:space="preserve">(7) </w:t>
            </w:r>
            <w:r w:rsidRPr="00105389">
              <w:t>members, with a minimum of f</w:t>
            </w:r>
            <w:r w:rsidRPr="0009170E">
              <w:t xml:space="preserve">our </w:t>
            </w:r>
            <w:r>
              <w:t xml:space="preserve">(4) </w:t>
            </w:r>
            <w:r w:rsidRPr="0009170E">
              <w:t>L</w:t>
            </w:r>
            <w:r>
              <w:t>NC members, plus a minimum of two</w:t>
            </w:r>
            <w:r w:rsidRPr="0009170E">
              <w:t xml:space="preserve"> </w:t>
            </w:r>
            <w:r>
              <w:t xml:space="preserve">(2) </w:t>
            </w:r>
            <w:r w:rsidRPr="0009170E">
              <w:t>non-LNC members who are recommended by the Convention Oversight Committee</w:t>
            </w:r>
          </w:p>
          <w:p w14:paraId="759A3B9A" w14:textId="77777777" w:rsidR="00F15362" w:rsidRPr="0009170E" w:rsidRDefault="00F15362" w:rsidP="0022438D"/>
        </w:tc>
        <w:tc>
          <w:tcPr>
            <w:tcW w:w="2880" w:type="dxa"/>
          </w:tcPr>
          <w:p w14:paraId="1A4A5505" w14:textId="77777777" w:rsidR="00F15362" w:rsidRDefault="00F15362" w:rsidP="0022438D">
            <w:pPr>
              <w:rPr>
                <w:b/>
                <w:strike/>
                <w:color w:val="FF0000"/>
              </w:rPr>
            </w:pPr>
            <w:r w:rsidRPr="00F15362">
              <w:rPr>
                <w:b/>
                <w:strike/>
                <w:color w:val="FF0000"/>
              </w:rPr>
              <w:t>LNC members selected by the LNC, non-LNC members selected by the LNC Chair</w:t>
            </w:r>
          </w:p>
          <w:p w14:paraId="38ED8B64" w14:textId="352A22F0" w:rsidR="00F15362" w:rsidRPr="00F15362" w:rsidRDefault="00F15362" w:rsidP="0022438D">
            <w:pPr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LNC</w:t>
            </w:r>
          </w:p>
        </w:tc>
        <w:tc>
          <w:tcPr>
            <w:tcW w:w="2340" w:type="dxa"/>
          </w:tcPr>
          <w:p w14:paraId="28347FE4" w14:textId="77777777" w:rsidR="00F15362" w:rsidRPr="00F15362" w:rsidRDefault="00F15362" w:rsidP="0022438D">
            <w:pPr>
              <w:rPr>
                <w:b/>
                <w:strike/>
                <w:color w:val="FF0000"/>
              </w:rPr>
            </w:pPr>
            <w:r w:rsidRPr="00F15362">
              <w:rPr>
                <w:b/>
                <w:strike/>
                <w:color w:val="FF0000"/>
              </w:rPr>
              <w:t>LNC Chair selected</w:t>
            </w:r>
          </w:p>
          <w:p w14:paraId="09E77BA2" w14:textId="77777777" w:rsidR="00F15362" w:rsidRDefault="00F15362" w:rsidP="0022438D"/>
          <w:p w14:paraId="0C094C54" w14:textId="2C8B325F" w:rsidR="00F15362" w:rsidRPr="0009170E" w:rsidRDefault="00F15362" w:rsidP="0022438D">
            <w:bookmarkStart w:id="3" w:name="_GoBack"/>
            <w:bookmarkEnd w:id="3"/>
            <w:r>
              <w:rPr>
                <w:b/>
                <w:color w:val="0070C0"/>
                <w:u w:val="single"/>
              </w:rPr>
              <w:t>LNC</w:t>
            </w:r>
          </w:p>
        </w:tc>
      </w:tr>
      <w:tr w:rsidR="00F15362" w14:paraId="35B5B738" w14:textId="77777777" w:rsidTr="0022438D">
        <w:trPr>
          <w:jc w:val="center"/>
        </w:trPr>
        <w:tc>
          <w:tcPr>
            <w:tcW w:w="1620" w:type="dxa"/>
          </w:tcPr>
          <w:p w14:paraId="3AA95B8A" w14:textId="77777777" w:rsidR="00F15362" w:rsidRDefault="00F15362" w:rsidP="0022438D">
            <w:r>
              <w:lastRenderedPageBreak/>
              <w:t>Employment Policy and Compensation</w:t>
            </w:r>
          </w:p>
        </w:tc>
        <w:tc>
          <w:tcPr>
            <w:tcW w:w="3240" w:type="dxa"/>
          </w:tcPr>
          <w:p w14:paraId="0E298584" w14:textId="77777777" w:rsidR="00F15362" w:rsidRDefault="00F15362" w:rsidP="0022438D">
            <w:r>
              <w:t xml:space="preserve">Three (3) LNC members </w:t>
            </w:r>
            <w:r w:rsidRPr="00E55B44">
              <w:t>other than the LNC Chair</w:t>
            </w:r>
          </w:p>
        </w:tc>
        <w:tc>
          <w:tcPr>
            <w:tcW w:w="2880" w:type="dxa"/>
          </w:tcPr>
          <w:p w14:paraId="69F3DE42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4BA28ADA" w14:textId="77777777" w:rsidR="00F15362" w:rsidRDefault="00F15362" w:rsidP="0022438D">
            <w:r>
              <w:t>* Committee selected</w:t>
            </w:r>
          </w:p>
        </w:tc>
      </w:tr>
      <w:tr w:rsidR="00F15362" w14:paraId="6498A820" w14:textId="77777777" w:rsidTr="0022438D">
        <w:trPr>
          <w:jc w:val="center"/>
        </w:trPr>
        <w:tc>
          <w:tcPr>
            <w:tcW w:w="1620" w:type="dxa"/>
          </w:tcPr>
          <w:p w14:paraId="1742BA03" w14:textId="77777777" w:rsidR="00F15362" w:rsidRDefault="00F15362" w:rsidP="0022438D">
            <w:r>
              <w:t>Executive</w:t>
            </w:r>
          </w:p>
        </w:tc>
        <w:tc>
          <w:tcPr>
            <w:tcW w:w="3240" w:type="dxa"/>
          </w:tcPr>
          <w:p w14:paraId="75E6B052" w14:textId="77777777" w:rsidR="00F15362" w:rsidRDefault="00F15362" w:rsidP="0022438D">
            <w:r>
              <w:t>Four (4) officers plus any number of LNC members excluding alternates</w:t>
            </w:r>
          </w:p>
        </w:tc>
        <w:tc>
          <w:tcPr>
            <w:tcW w:w="2880" w:type="dxa"/>
          </w:tcPr>
          <w:p w14:paraId="2E073293" w14:textId="77777777" w:rsidR="00F15362" w:rsidRDefault="00F15362" w:rsidP="0022438D">
            <w:r>
              <w:t>LNC</w:t>
            </w:r>
          </w:p>
        </w:tc>
        <w:tc>
          <w:tcPr>
            <w:tcW w:w="2340" w:type="dxa"/>
          </w:tcPr>
          <w:p w14:paraId="652C03BF" w14:textId="77777777" w:rsidR="00F15362" w:rsidRDefault="00F15362" w:rsidP="0022438D">
            <w:r>
              <w:t>LNC Chair selected</w:t>
            </w:r>
          </w:p>
        </w:tc>
      </w:tr>
      <w:tr w:rsidR="00F15362" w14:paraId="015D71DC" w14:textId="77777777" w:rsidTr="0022438D">
        <w:trPr>
          <w:jc w:val="center"/>
        </w:trPr>
        <w:tc>
          <w:tcPr>
            <w:tcW w:w="1620" w:type="dxa"/>
          </w:tcPr>
          <w:p w14:paraId="4F76C97D" w14:textId="77777777" w:rsidR="00F15362" w:rsidRDefault="00F15362" w:rsidP="0022438D">
            <w:r>
              <w:t>Historical Preservation Committee</w:t>
            </w:r>
          </w:p>
        </w:tc>
        <w:tc>
          <w:tcPr>
            <w:tcW w:w="3240" w:type="dxa"/>
          </w:tcPr>
          <w:p w14:paraId="1B1C8F89" w14:textId="77777777" w:rsidR="00F15362" w:rsidRDefault="00F15362" w:rsidP="0022438D">
            <w:r>
              <w:t>A minimum of five (5) and up to seven (7) members</w:t>
            </w:r>
          </w:p>
        </w:tc>
        <w:tc>
          <w:tcPr>
            <w:tcW w:w="2880" w:type="dxa"/>
          </w:tcPr>
          <w:p w14:paraId="31BB4D6B" w14:textId="77777777" w:rsidR="00F15362" w:rsidRDefault="00F15362" w:rsidP="0022438D">
            <w:r>
              <w:t>Committee Chair selected by LNC; remaining members selected by the Committee Chair</w:t>
            </w:r>
          </w:p>
        </w:tc>
        <w:tc>
          <w:tcPr>
            <w:tcW w:w="2340" w:type="dxa"/>
          </w:tcPr>
          <w:p w14:paraId="7995C2C1" w14:textId="77777777" w:rsidR="00F15362" w:rsidRDefault="00F15362" w:rsidP="0022438D">
            <w:r>
              <w:t>LNC</w:t>
            </w:r>
          </w:p>
        </w:tc>
      </w:tr>
      <w:tr w:rsidR="00F15362" w14:paraId="3E85F41E" w14:textId="77777777" w:rsidTr="0022438D">
        <w:trPr>
          <w:jc w:val="center"/>
        </w:trPr>
        <w:tc>
          <w:tcPr>
            <w:tcW w:w="1620" w:type="dxa"/>
          </w:tcPr>
          <w:p w14:paraId="78E5AF41" w14:textId="77777777" w:rsidR="00F15362" w:rsidRDefault="00F15362" w:rsidP="0022438D">
            <w:r>
              <w:t>Information Services Committee</w:t>
            </w:r>
          </w:p>
        </w:tc>
        <w:tc>
          <w:tcPr>
            <w:tcW w:w="3240" w:type="dxa"/>
          </w:tcPr>
          <w:p w14:paraId="1E814282" w14:textId="77777777" w:rsidR="00F15362" w:rsidRDefault="00F15362" w:rsidP="0022438D">
            <w:r>
              <w:t>Two (2) LNC members, plus up to five (5)</w:t>
            </w:r>
            <w:r w:rsidRPr="00D011C7">
              <w:t xml:space="preserve"> non-LNC members who are recommended by the I</w:t>
            </w:r>
            <w:r>
              <w:t>S</w:t>
            </w:r>
            <w:r w:rsidRPr="00D011C7">
              <w:t xml:space="preserve"> Committee</w:t>
            </w:r>
          </w:p>
        </w:tc>
        <w:tc>
          <w:tcPr>
            <w:tcW w:w="2880" w:type="dxa"/>
          </w:tcPr>
          <w:p w14:paraId="5FE137D6" w14:textId="77777777" w:rsidR="00F15362" w:rsidRDefault="00F15362" w:rsidP="0022438D">
            <w:r>
              <w:t>LNC Chair</w:t>
            </w:r>
          </w:p>
        </w:tc>
        <w:tc>
          <w:tcPr>
            <w:tcW w:w="2340" w:type="dxa"/>
          </w:tcPr>
          <w:p w14:paraId="5E27F8F0" w14:textId="77777777" w:rsidR="00F15362" w:rsidRDefault="00F15362" w:rsidP="0022438D">
            <w:r>
              <w:t>* Committee selected</w:t>
            </w:r>
          </w:p>
        </w:tc>
      </w:tr>
    </w:tbl>
    <w:p w14:paraId="33F2F013" w14:textId="77777777" w:rsidR="00F15362" w:rsidRDefault="00F15362" w:rsidP="00F15362"/>
    <w:p w14:paraId="1E267A99" w14:textId="77777777" w:rsidR="00E841D2" w:rsidRDefault="00E841D2"/>
    <w:sectPr w:rsidR="00E841D2" w:rsidSect="0054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D6D4" w14:textId="77777777" w:rsidR="00F92BB5" w:rsidRDefault="00F92BB5" w:rsidP="00F15362">
      <w:r>
        <w:separator/>
      </w:r>
    </w:p>
  </w:endnote>
  <w:endnote w:type="continuationSeparator" w:id="0">
    <w:p w14:paraId="20545EF5" w14:textId="77777777" w:rsidR="00F92BB5" w:rsidRDefault="00F92BB5" w:rsidP="00F15362">
      <w:r>
        <w:continuationSeparator/>
      </w:r>
    </w:p>
  </w:endnote>
  <w:endnote w:id="1">
    <w:p w14:paraId="09F0E631" w14:textId="77777777" w:rsidR="00F15362" w:rsidRPr="00F22A2A" w:rsidRDefault="00F15362" w:rsidP="00F15362">
      <w:pPr>
        <w:pStyle w:val="EndnoteText"/>
        <w:rPr>
          <w:sz w:val="24"/>
          <w:szCs w:val="24"/>
        </w:rPr>
      </w:pPr>
      <w:r w:rsidRPr="00F22A2A">
        <w:rPr>
          <w:rStyle w:val="EndnoteReference"/>
          <w:sz w:val="24"/>
          <w:szCs w:val="24"/>
        </w:rPr>
        <w:endnoteRef/>
      </w:r>
      <w:r w:rsidRPr="00F22A2A">
        <w:rPr>
          <w:sz w:val="24"/>
          <w:szCs w:val="24"/>
        </w:rPr>
        <w:t xml:space="preserve"> In the absence of this rule and 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.2, the LNC would select the committee sizes, select the committee members, and would have the option of appointing the</w:t>
      </w:r>
      <w:r w:rsidRPr="00DB355D">
        <w:rPr>
          <w:sz w:val="24"/>
          <w:szCs w:val="24"/>
        </w:rPr>
        <w:t xml:space="preserve"> committee chairs.  See RONR p. 492, lines 13</w:t>
      </w:r>
      <w:r>
        <w:t>–</w:t>
      </w:r>
      <w:r w:rsidRPr="00DB355D">
        <w:rPr>
          <w:sz w:val="24"/>
          <w:szCs w:val="24"/>
        </w:rPr>
        <w:t>22.</w:t>
      </w:r>
    </w:p>
    <w:p w14:paraId="79BB9EBE" w14:textId="77777777" w:rsidR="00F15362" w:rsidRDefault="00F15362" w:rsidP="00F15362">
      <w:pPr>
        <w:pStyle w:val="EndnoteText"/>
        <w:rPr>
          <w:sz w:val="24"/>
          <w:szCs w:val="24"/>
        </w:rPr>
      </w:pPr>
    </w:p>
  </w:endnote>
  <w:endnote w:id="2">
    <w:p w14:paraId="2DC5E107" w14:textId="77777777" w:rsidR="00F15362" w:rsidRPr="00DB355D" w:rsidRDefault="00F15362" w:rsidP="00F15362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22A2A">
        <w:rPr>
          <w:sz w:val="24"/>
          <w:szCs w:val="24"/>
        </w:rPr>
        <w:t xml:space="preserve">Bylaw Article </w:t>
      </w:r>
      <w:r>
        <w:rPr>
          <w:sz w:val="24"/>
          <w:szCs w:val="24"/>
        </w:rPr>
        <w:t>9</w:t>
      </w:r>
      <w:r w:rsidRPr="00F22A2A">
        <w:rPr>
          <w:sz w:val="24"/>
          <w:szCs w:val="24"/>
        </w:rPr>
        <w:t>.2 requires a standing Audit Committee and specifies the details noted in the “size” and “member selection” columns of this table.  In the absence of this row, the non-officer LNC members would have the option of appointing the committee chair.</w:t>
      </w:r>
      <w:r>
        <w:rPr>
          <w:sz w:val="24"/>
          <w:szCs w:val="24"/>
        </w:rPr>
        <w:t xml:space="preserve"> </w:t>
      </w:r>
      <w:r w:rsidRPr="00DB355D">
        <w:rPr>
          <w:sz w:val="24"/>
          <w:szCs w:val="24"/>
        </w:rPr>
        <w:t xml:space="preserve"> See RONR p. 492, lines 20</w:t>
      </w:r>
      <w:r>
        <w:t>–</w:t>
      </w:r>
      <w:r w:rsidRPr="00DB355D">
        <w:rPr>
          <w:sz w:val="24"/>
          <w:szCs w:val="24"/>
        </w:rPr>
        <w:t>22.</w:t>
      </w:r>
    </w:p>
    <w:p w14:paraId="1B5682B7" w14:textId="77777777" w:rsidR="00F15362" w:rsidRDefault="00F15362" w:rsidP="00F1536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A4E24" w14:textId="77777777" w:rsidR="00F92BB5" w:rsidRDefault="00F92BB5" w:rsidP="00F15362">
      <w:r>
        <w:separator/>
      </w:r>
    </w:p>
  </w:footnote>
  <w:footnote w:type="continuationSeparator" w:id="0">
    <w:p w14:paraId="6BE7A37D" w14:textId="77777777" w:rsidR="00F92BB5" w:rsidRDefault="00F92BB5" w:rsidP="00F1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406B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62"/>
    <w:rsid w:val="00051321"/>
    <w:rsid w:val="00087A41"/>
    <w:rsid w:val="00277874"/>
    <w:rsid w:val="0031274A"/>
    <w:rsid w:val="00437041"/>
    <w:rsid w:val="00490C85"/>
    <w:rsid w:val="00503278"/>
    <w:rsid w:val="0054239C"/>
    <w:rsid w:val="007E33DB"/>
    <w:rsid w:val="00A001EB"/>
    <w:rsid w:val="00B2357C"/>
    <w:rsid w:val="00C30A0A"/>
    <w:rsid w:val="00DA0681"/>
    <w:rsid w:val="00E841D2"/>
    <w:rsid w:val="00F15362"/>
    <w:rsid w:val="00F431A2"/>
    <w:rsid w:val="00F86BE1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D63"/>
  <w15:chartTrackingRefBased/>
  <w15:docId w15:val="{5022CCB0-37E6-C141-AC49-BC4728D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153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53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5362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line="200" w:lineRule="exact"/>
      <w:jc w:val="center"/>
      <w:outlineLvl w:val="2"/>
    </w:pPr>
    <w:rPr>
      <w:rFonts w:ascii="Arial" w:hAnsi="Arial" w:cs="Arial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F15362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" w:line="270" w:lineRule="exact"/>
      <w:jc w:val="center"/>
      <w:outlineLvl w:val="3"/>
    </w:pPr>
    <w:rPr>
      <w:rFonts w:ascii="Arial" w:hAnsi="Arial" w:cs="Arial"/>
      <w:b/>
      <w:bCs/>
      <w:sz w:val="28"/>
      <w:szCs w:val="27"/>
    </w:rPr>
  </w:style>
  <w:style w:type="paragraph" w:styleId="Heading5">
    <w:name w:val="heading 5"/>
    <w:basedOn w:val="Normal"/>
    <w:next w:val="BodyText"/>
    <w:link w:val="Heading5Char"/>
    <w:qFormat/>
    <w:rsid w:val="00F15362"/>
    <w:pPr>
      <w:keepNext/>
      <w:keepLines/>
      <w:numPr>
        <w:ilvl w:val="4"/>
        <w:numId w:val="1"/>
      </w:numPr>
      <w:spacing w:line="180" w:lineRule="atLeast"/>
      <w:outlineLvl w:val="4"/>
    </w:pPr>
    <w:rPr>
      <w:rFonts w:ascii="Arial Black" w:hAnsi="Arial Black"/>
      <w:spacing w:val="-2"/>
      <w:kern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F15362"/>
    <w:pPr>
      <w:keepNext/>
      <w:numPr>
        <w:ilvl w:val="5"/>
        <w:numId w:val="1"/>
      </w:numPr>
      <w:outlineLvl w:val="5"/>
    </w:pPr>
    <w:rPr>
      <w:rFonts w:ascii="Arial" w:hAnsi="Arial"/>
      <w:i/>
      <w:iCs/>
      <w:spacing w:val="-5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15362"/>
    <w:pPr>
      <w:keepNext/>
      <w:numPr>
        <w:ilvl w:val="6"/>
        <w:numId w:val="1"/>
      </w:numPr>
      <w:outlineLvl w:val="6"/>
    </w:pPr>
    <w:rPr>
      <w:rFonts w:ascii="Arial" w:hAnsi="Arial"/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15362"/>
    <w:pPr>
      <w:keepNext/>
      <w:numPr>
        <w:ilvl w:val="7"/>
        <w:numId w:val="1"/>
      </w:numPr>
      <w:outlineLvl w:val="7"/>
    </w:pPr>
    <w:rPr>
      <w:rFonts w:ascii="Arial" w:hAnsi="Arial"/>
      <w:spacing w:val="-5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F15362"/>
    <w:pPr>
      <w:keepNext/>
      <w:numPr>
        <w:ilvl w:val="8"/>
        <w:numId w:val="1"/>
      </w:numPr>
      <w:outlineLvl w:val="8"/>
    </w:pPr>
    <w:rPr>
      <w:rFonts w:ascii="Arial" w:hAnsi="Arial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3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3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15362"/>
    <w:rPr>
      <w:rFonts w:ascii="Arial" w:eastAsia="Times New Roman" w:hAnsi="Arial" w:cs="Arial"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F15362"/>
    <w:rPr>
      <w:rFonts w:ascii="Arial" w:eastAsia="Times New Roman" w:hAnsi="Arial" w:cs="Arial"/>
      <w:b/>
      <w:bCs/>
      <w:sz w:val="28"/>
      <w:szCs w:val="27"/>
    </w:rPr>
  </w:style>
  <w:style w:type="character" w:customStyle="1" w:styleId="Heading5Char">
    <w:name w:val="Heading 5 Char"/>
    <w:basedOn w:val="DefaultParagraphFont"/>
    <w:link w:val="Heading5"/>
    <w:rsid w:val="00F15362"/>
    <w:rPr>
      <w:rFonts w:ascii="Arial Black" w:eastAsia="Times New Roman" w:hAnsi="Arial Black" w:cs="Times New Roman"/>
      <w:spacing w:val="-2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F1536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15362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15362"/>
    <w:rPr>
      <w:rFonts w:ascii="Arial" w:eastAsia="Times New Roman" w:hAnsi="Arial" w:cs="Times New Roman"/>
      <w:spacing w:val="-5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F15362"/>
    <w:rPr>
      <w:rFonts w:ascii="Arial" w:eastAsia="Times New Roman" w:hAnsi="Arial" w:cs="Times New Roman"/>
      <w:b/>
      <w:bCs/>
      <w:spacing w:val="-5"/>
      <w:sz w:val="20"/>
      <w:szCs w:val="20"/>
      <w:u w:val="single"/>
    </w:rPr>
  </w:style>
  <w:style w:type="character" w:customStyle="1" w:styleId="HeadingBaseChar">
    <w:name w:val="Heading Base Char"/>
    <w:rsid w:val="00F15362"/>
    <w:rPr>
      <w:rFonts w:ascii="Arial Black" w:hAnsi="Arial Black"/>
      <w:spacing w:val="-10"/>
      <w:kern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F153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53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F15362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Ann Harlos</dc:creator>
  <cp:keywords/>
  <dc:description/>
  <cp:lastModifiedBy>Richard</cp:lastModifiedBy>
  <cp:revision>2</cp:revision>
  <cp:lastPrinted>2020-05-29T18:15:00Z</cp:lastPrinted>
  <dcterms:created xsi:type="dcterms:W3CDTF">2020-05-29T18:12:00Z</dcterms:created>
  <dcterms:modified xsi:type="dcterms:W3CDTF">2020-05-29T18:37:00Z</dcterms:modified>
</cp:coreProperties>
</file>